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CA" w:rsidRPr="00277121" w:rsidRDefault="00277121">
      <w:pPr>
        <w:spacing w:before="160" w:line="240" w:lineRule="auto"/>
        <w:ind w:leftChars="-353" w:left="-706" w:rightChars="-500" w:right="-100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Toc20379"/>
      <w:bookmarkStart w:id="1" w:name="_Toc599"/>
      <w:bookmarkStart w:id="2" w:name="_Toc29556"/>
      <w:bookmarkStart w:id="3" w:name="_GoBack"/>
      <w:bookmarkEnd w:id="3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M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Ẫ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QUY CH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</w:t>
      </w:r>
      <w:bookmarkEnd w:id="0"/>
      <w:bookmarkEnd w:id="1"/>
      <w:bookmarkEnd w:id="2"/>
    </w:p>
    <w:p w:rsidR="007C75CA" w:rsidRPr="00277121" w:rsidRDefault="00277121">
      <w:pPr>
        <w:spacing w:before="160" w:line="240" w:lineRule="auto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QUY CH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A CÔNG TY………….</w:t>
      </w:r>
    </w:p>
    <w:p w:rsidR="007C75CA" w:rsidRPr="00277121" w:rsidRDefault="00277121">
      <w:pPr>
        <w:spacing w:before="160" w:line="240" w:lineRule="auto"/>
        <w:ind w:leftChars="-200" w:left="-1" w:rightChars="-500" w:right="-1000" w:hangingChars="153" w:hanging="39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Căn c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ứ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:</w:t>
      </w:r>
    </w:p>
    <w:p w:rsidR="00277121" w:rsidRDefault="00277121" w:rsidP="00277121">
      <w:pPr>
        <w:pStyle w:val="ListParagraph"/>
        <w:numPr>
          <w:ilvl w:val="0"/>
          <w:numId w:val="7"/>
        </w:numPr>
        <w:spacing w:before="160"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vào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Qu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thông qua vào ngày 20 tháng 11 năm 2019 và có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ngày 01 tháng 01 năm 2021.</w:t>
      </w:r>
    </w:p>
    <w:p w:rsidR="007C75CA" w:rsidRDefault="00277121" w:rsidP="00277121">
      <w:pPr>
        <w:pStyle w:val="ListParagraph"/>
        <w:numPr>
          <w:ilvl w:val="0"/>
          <w:numId w:val="7"/>
        </w:numPr>
        <w:spacing w:before="160"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[T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ng] Giám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kiêm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di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theo pháp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a Công ty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…………………………… (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“Công ty”)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ban hành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áp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(như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nghĩa bên dư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i)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như sau:</w:t>
      </w:r>
    </w:p>
    <w:p w:rsidR="00277121" w:rsidRPr="00277121" w:rsidRDefault="00277121" w:rsidP="00277121">
      <w:pPr>
        <w:pStyle w:val="ListParagraph"/>
        <w:numPr>
          <w:ilvl w:val="0"/>
          <w:numId w:val="7"/>
        </w:numPr>
        <w:spacing w:before="160"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75CA" w:rsidRPr="00277121" w:rsidRDefault="00277121">
      <w:pPr>
        <w:spacing w:before="160" w:line="240" w:lineRule="auto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HƯƠNG I: NH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 QUY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NH CHUNG</w:t>
      </w:r>
    </w:p>
    <w:p w:rsidR="007C75CA" w:rsidRPr="00277121" w:rsidRDefault="00277121">
      <w:pPr>
        <w:spacing w:before="160" w:line="240" w:lineRule="auto"/>
        <w:ind w:leftChars="-200" w:left="-1" w:rightChars="-500" w:right="-1000" w:hangingChars="153" w:hanging="39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1. M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 tiêu</w:t>
      </w:r>
    </w:p>
    <w:p w:rsidR="007C75CA" w:rsidRPr="00277121" w:rsidRDefault="00277121">
      <w:pPr>
        <w:spacing w:before="160" w:line="240" w:lineRule="auto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này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ban hành theo các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ng,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các văn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liên quan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các nguyên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quy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 cách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ty.</w:t>
      </w:r>
    </w:p>
    <w:p w:rsidR="007C75CA" w:rsidRPr="00277121" w:rsidRDefault="00277121">
      <w:pPr>
        <w:spacing w:before="160" w:line="240" w:lineRule="auto"/>
        <w:ind w:leftChars="-391" w:left="-782" w:rightChars="-500" w:right="-1000" w:firstLineChars="147" w:firstLine="38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2. Ph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m vi áp d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before="160" w:line="240" w:lineRule="auto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này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áp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các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đang giao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Công ty,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bao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ngoài và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Nam.</w:t>
      </w:r>
    </w:p>
    <w:p w:rsidR="007C75CA" w:rsidRPr="00277121" w:rsidRDefault="00277121">
      <w:pPr>
        <w:spacing w:before="160" w:line="240" w:lineRule="auto"/>
        <w:ind w:leftChars="-391" w:left="-782" w:rightChars="-500" w:right="-1000" w:firstLineChars="147" w:firstLine="38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3.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nh nghĩa và Gi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i thích</w:t>
      </w:r>
    </w:p>
    <w:p w:rsidR="007C75CA" w:rsidRPr="00277121" w:rsidRDefault="00277121">
      <w:pPr>
        <w:numPr>
          <w:ilvl w:val="1"/>
          <w:numId w:val="1"/>
        </w:numPr>
        <w:spacing w:before="160" w:line="240" w:lineRule="auto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nghĩa</w:t>
      </w:r>
    </w:p>
    <w:p w:rsidR="007C75CA" w:rsidRPr="00277121" w:rsidRDefault="00277121">
      <w:pPr>
        <w:spacing w:before="160" w:line="240" w:lineRule="auto"/>
        <w:ind w:leftChars="-400" w:left="-800" w:rightChars="-500" w:right="-1000" w:firstLineChars="153" w:firstLine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Trong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này,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khi ng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có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khác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đòi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ỏ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khác đi,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hoa có ý nghĩa như sau:</w:t>
      </w:r>
    </w:p>
    <w:p w:rsidR="007C75CA" w:rsidRPr="00277121" w:rsidRDefault="00277121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:rsidR="007C75CA" w:rsidRPr="00277121" w:rsidRDefault="00277121">
      <w:pPr>
        <w:spacing w:line="240" w:lineRule="auto"/>
        <w:ind w:leftChars="-200" w:left="2333" w:rightChars="-500" w:right="-1000" w:hangingChars="1047" w:hanging="273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 xml:space="preserve">“Công </w:t>
      </w:r>
      <w:proofErr w:type="gramStart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ty”   </w:t>
      </w:r>
      <w:proofErr w:type="gramEnd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:  nghĩa là Công ty………,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công ty (trách nhi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thành viên/trách nhi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hai thành viên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lên/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n]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thành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và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p pháp theo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pháp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Nam theo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đăng ký doanh nghi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……,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i…..vào ngày ……tháng……năm…., có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đăng ký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…………………..;</w:t>
      </w:r>
    </w:p>
    <w:p w:rsidR="007C75CA" w:rsidRPr="00277121" w:rsidRDefault="00277121">
      <w:pPr>
        <w:spacing w:line="240" w:lineRule="auto"/>
        <w:ind w:leftChars="-200" w:left="2333" w:rightChars="-500" w:right="-1000" w:hangingChars="1047" w:hanging="273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“H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ng lao </w:t>
      </w:r>
      <w:proofErr w:type="gramStart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ng” 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:</w:t>
      </w:r>
      <w:proofErr w:type="gramEnd"/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nghĩa là văn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ỏ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 Công ty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làm có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ơng,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c, quy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và nghĩa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bên trong quan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ng; </w:t>
      </w:r>
    </w:p>
    <w:p w:rsidR="007C75CA" w:rsidRPr="00277121" w:rsidRDefault="00277121">
      <w:pPr>
        <w:spacing w:line="240" w:lineRule="auto"/>
        <w:ind w:leftChars="-200" w:left="2335" w:rightChars="-500" w:right="-1000" w:hangingChars="1048" w:hanging="273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“Ngư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i lao </w:t>
      </w:r>
      <w:proofErr w:type="gramStart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ng”   </w:t>
      </w:r>
      <w:proofErr w:type="gramEnd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: nghĩa là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ty, bao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nhà qu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lý, nhân viên văn phòng, nhân viên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sinh,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và tài x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hay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nào ký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Công ty,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là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ngoài hay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t Nam; </w:t>
      </w:r>
    </w:p>
    <w:p w:rsidR="007C75CA" w:rsidRPr="00277121" w:rsidRDefault="00277121">
      <w:pPr>
        <w:spacing w:line="240" w:lineRule="auto"/>
        <w:ind w:leftChars="-200" w:left="2414" w:rightChars="-500" w:right="-1000" w:hangingChars="1078" w:hanging="281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“Quy ch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</w:t>
      </w:r>
      <w:proofErr w:type="gramStart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:</w:t>
      </w:r>
      <w:proofErr w:type="gramEnd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nghĩa là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này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và các thay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sung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m;</w:t>
      </w:r>
    </w:p>
    <w:p w:rsidR="007C75CA" w:rsidRPr="00277121" w:rsidRDefault="00277121">
      <w:pPr>
        <w:spacing w:line="240" w:lineRule="auto"/>
        <w:ind w:leftChars="-200" w:left="2213" w:rightChars="-500" w:right="-1000" w:hangingChars="1001" w:hanging="261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“</w:t>
      </w:r>
      <w:proofErr w:type="gramStart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ng”   </w:t>
      </w:r>
      <w:proofErr w:type="gramEnd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:nghĩa là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tài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các hình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khác mà Công ty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theo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này; và </w:t>
      </w:r>
    </w:p>
    <w:p w:rsidR="007C75CA" w:rsidRPr="00277121" w:rsidRDefault="00277121">
      <w:pPr>
        <w:spacing w:line="240" w:lineRule="auto"/>
        <w:ind w:leftChars="-200" w:left="2213" w:rightChars="-500" w:right="-1000" w:hangingChars="1001" w:hanging="261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“[T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ng] Giám </w:t>
      </w:r>
      <w:proofErr w:type="gramStart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c”  :</w:t>
      </w:r>
      <w:proofErr w:type="gramEnd"/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nghĩa là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di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theo pháp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Công ty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m.</w:t>
      </w:r>
    </w:p>
    <w:p w:rsidR="007C75CA" w:rsidRPr="00277121" w:rsidRDefault="00277121">
      <w:pPr>
        <w:numPr>
          <w:ilvl w:val="1"/>
          <w:numId w:val="1"/>
        </w:numPr>
        <w:spacing w:line="240" w:lineRule="auto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thích</w:t>
      </w:r>
    </w:p>
    <w:p w:rsidR="007C75CA" w:rsidRPr="00277121" w:rsidRDefault="00277121">
      <w:pPr>
        <w:spacing w:before="160" w:line="240" w:lineRule="auto"/>
        <w:ind w:leftChars="-28" w:left="394" w:rightChars="-500" w:right="-1000" w:hangingChars="173" w:hanging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(a)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t văn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là bao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văn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đó và các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sung,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thay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văn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đó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m;</w:t>
      </w:r>
    </w:p>
    <w:p w:rsidR="007C75CA" w:rsidRPr="00277121" w:rsidRDefault="00277121">
      <w:pPr>
        <w:spacing w:before="60" w:after="60" w:line="240" w:lineRule="auto"/>
        <w:ind w:left="398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(b)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có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nào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vào ngày không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là ngày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(đ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tránh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m, ngày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nghĩa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à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t ngày mà các ngân hàng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Nam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giao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ch), thì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đó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vào ngày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p; và</w:t>
      </w:r>
    </w:p>
    <w:p w:rsidR="007C75CA" w:rsidRPr="00277121" w:rsidRDefault="00277121">
      <w:pPr>
        <w:spacing w:before="60" w:after="60" w:line="240" w:lineRule="auto"/>
        <w:ind w:left="390" w:rightChars="-500" w:right="-1000" w:hangingChars="150" w:hanging="3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(c) Các tiêu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mang tính tham kh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 và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thích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này.</w:t>
      </w:r>
    </w:p>
    <w:p w:rsidR="007C75CA" w:rsidRPr="00277121" w:rsidRDefault="00277121">
      <w:pPr>
        <w:spacing w:before="60" w:after="60" w:line="240" w:lineRule="auto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CHƯƠNG II: NGUYÊN T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 TR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NG </w:t>
      </w:r>
    </w:p>
    <w:p w:rsidR="007C75CA" w:rsidRPr="00277121" w:rsidRDefault="00277121">
      <w:pPr>
        <w:spacing w:before="60" w:after="60" w:line="240" w:lineRule="auto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VÀ CÁC KHO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before="60" w:after="60" w:line="240" w:lineRule="auto"/>
        <w:ind w:leftChars="-200" w:left="-3" w:rightChars="-500" w:right="-1000" w:hangingChars="152" w:hanging="397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4. Nguyên t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 tr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before="60" w:after="60" w:line="240" w:lineRule="auto"/>
        <w:ind w:leftChars="-200" w:left="-5" w:rightChars="-500" w:right="-10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Công ty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theo các nguyên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sau:</w:t>
      </w:r>
    </w:p>
    <w:p w:rsidR="007C75CA" w:rsidRPr="00277121" w:rsidRDefault="00277121">
      <w:pPr>
        <w:spacing w:before="60" w:after="60" w:line="240" w:lineRule="auto"/>
        <w:ind w:leftChars="-200" w:left="-5" w:rightChars="-500" w:right="-10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4.1.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vào: (i)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qu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kinh doanh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ty; và (ii) thành tích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trong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gian 12 (mư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hai) tháng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năm, tính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[ngày 01 tháng 01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ngày 31 tháng 12]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ch;</w:t>
      </w:r>
    </w:p>
    <w:p w:rsidR="007C75CA" w:rsidRPr="00277121" w:rsidRDefault="00277121">
      <w:pPr>
        <w:spacing w:before="60" w:after="60" w:line="240" w:lineRule="auto"/>
        <w:ind w:leftChars="-200" w:left="-5" w:rightChars="-500" w:right="-10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4.2.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còn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Công ty và không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đơn xin thôi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Công ty thông báo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vì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lý do nào tính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ng;</w:t>
      </w:r>
    </w:p>
    <w:p w:rsidR="007C75CA" w:rsidRPr="00277121" w:rsidRDefault="00277121">
      <w:pPr>
        <w:spacing w:before="60" w:after="60" w:line="240" w:lineRule="auto"/>
        <w:ind w:leftChars="-200" w:left="-5" w:rightChars="-500" w:right="-10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lastRenderedPageBreak/>
        <w:t>4.3.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không vi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Quy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x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qu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nào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và không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x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lý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dư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hình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x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lý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nào theo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quy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đã đăng ký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ty;</w:t>
      </w:r>
    </w:p>
    <w:p w:rsidR="007C75CA" w:rsidRPr="00277121" w:rsidRDefault="00277121">
      <w:pPr>
        <w:spacing w:before="60" w:after="60" w:line="240" w:lineRule="auto"/>
        <w:ind w:leftChars="-200" w:left="-5" w:rightChars="-500" w:right="-10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4.4.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không vi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nào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này;</w:t>
      </w:r>
    </w:p>
    <w:p w:rsidR="007C75CA" w:rsidRPr="00277121" w:rsidRDefault="00277121">
      <w:pPr>
        <w:spacing w:before="60" w:after="60" w:line="240" w:lineRule="auto"/>
        <w:ind w:leftChars="-200" w:left="-5" w:rightChars="-500" w:right="-10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4.5.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không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trong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gian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c,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gian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cũng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là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gian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xem xét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trong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giao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sau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gian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c; và</w:t>
      </w:r>
    </w:p>
    <w:p w:rsidR="007C75CA" w:rsidRPr="00277121" w:rsidRDefault="00277121">
      <w:pPr>
        <w:spacing w:line="240" w:lineRule="auto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4.6.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như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4.2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này,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không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12 (mư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hai) tháng trong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vì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lý do gì (ch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như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xin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không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lương,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giao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Côn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g ty sau (ngày 31 tháng 01]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ch) thì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theo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tháng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trong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đó tính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line="240" w:lineRule="auto"/>
        <w:ind w:leftChars="-200" w:left="-1" w:rightChars="-500" w:right="-1000" w:hangingChars="153" w:hanging="39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5.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nh</w:t>
      </w:r>
    </w:p>
    <w:p w:rsidR="007C75CA" w:rsidRPr="00277121" w:rsidRDefault="00277121">
      <w:pPr>
        <w:spacing w:line="240" w:lineRule="auto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5.1.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</w:t>
      </w:r>
    </w:p>
    <w:p w:rsidR="007C75CA" w:rsidRPr="00277121" w:rsidRDefault="00277121">
      <w:pPr>
        <w:spacing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Công ty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xem xét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tương đương [01 (m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t) tháng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theo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ng] 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(“Ti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7C75CA" w:rsidRPr="00277121" w:rsidRDefault="00277121">
      <w:pPr>
        <w:numPr>
          <w:ilvl w:val="1"/>
          <w:numId w:val="2"/>
        </w:numPr>
        <w:spacing w:line="240" w:lineRule="auto"/>
        <w:ind w:leftChars="-200" w:left="396" w:rightChars="-500" w:right="-1000" w:hangingChars="306" w:hanging="79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Cách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</w:t>
      </w:r>
    </w:p>
    <w:p w:rsidR="007C75CA" w:rsidRPr="00277121" w:rsidRDefault="00277121">
      <w:pPr>
        <w:spacing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theo công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sau:</w:t>
      </w:r>
    </w:p>
    <w:tbl>
      <w:tblPr>
        <w:tblStyle w:val="TableGrid"/>
        <w:tblW w:w="9069" w:type="dxa"/>
        <w:tblInd w:w="-229" w:type="dxa"/>
        <w:tblLook w:val="04A0" w:firstRow="1" w:lastRow="0" w:firstColumn="1" w:lastColumn="0" w:noHBand="0" w:noVBand="1"/>
      </w:tblPr>
      <w:tblGrid>
        <w:gridCol w:w="1563"/>
        <w:gridCol w:w="458"/>
        <w:gridCol w:w="1552"/>
        <w:gridCol w:w="525"/>
        <w:gridCol w:w="1592"/>
        <w:gridCol w:w="348"/>
        <w:gridCol w:w="3031"/>
      </w:tblGrid>
      <w:tr w:rsidR="00277121" w:rsidRPr="00277121">
        <w:trPr>
          <w:trHeight w:val="1634"/>
        </w:trPr>
        <w:tc>
          <w:tcPr>
            <w:tcW w:w="1563" w:type="dxa"/>
            <w:vAlign w:val="center"/>
          </w:tcPr>
          <w:p w:rsidR="007C75CA" w:rsidRPr="00277121" w:rsidRDefault="00277121">
            <w:pPr>
              <w:widowControl/>
              <w:spacing w:line="240" w:lineRule="auto"/>
              <w:ind w:rightChars="-92" w:right="-184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Ti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ề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 thư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ở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 c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ố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đ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ị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C75CA" w:rsidRPr="00277121" w:rsidRDefault="007C75CA">
            <w:pPr>
              <w:widowControl/>
              <w:spacing w:line="240" w:lineRule="auto"/>
              <w:ind w:rightChars="-92" w:right="-1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8" w:type="dxa"/>
          </w:tcPr>
          <w:p w:rsidR="007C75CA" w:rsidRPr="00277121" w:rsidRDefault="007C75CA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C75CA" w:rsidRPr="00277121" w:rsidRDefault="00277121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52" w:type="dxa"/>
          </w:tcPr>
          <w:p w:rsidR="007C75CA" w:rsidRPr="00277121" w:rsidRDefault="00277121">
            <w:pPr>
              <w:widowControl/>
              <w:spacing w:line="240" w:lineRule="auto"/>
              <w:ind w:right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lương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làm căn c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tính thư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525" w:type="dxa"/>
          </w:tcPr>
          <w:p w:rsidR="007C75CA" w:rsidRPr="00277121" w:rsidRDefault="007C75CA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C75CA" w:rsidRPr="00277121" w:rsidRDefault="00277121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92" w:type="dxa"/>
          </w:tcPr>
          <w:p w:rsidR="007C75CA" w:rsidRPr="00277121" w:rsidRDefault="00277121">
            <w:pPr>
              <w:widowControl/>
              <w:spacing w:line="240" w:lineRule="auto"/>
              <w:ind w:rightChars="16" w:right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 (m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ộ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t) (tháng)</w:t>
            </w:r>
          </w:p>
        </w:tc>
        <w:tc>
          <w:tcPr>
            <w:tcW w:w="348" w:type="dxa"/>
          </w:tcPr>
          <w:p w:rsidR="007C75CA" w:rsidRPr="00277121" w:rsidRDefault="007C75CA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C75CA" w:rsidRPr="00277121" w:rsidRDefault="00277121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3031" w:type="dxa"/>
          </w:tcPr>
          <w:p w:rsidR="007C75CA" w:rsidRPr="00277121" w:rsidRDefault="00277121">
            <w:pPr>
              <w:widowControl/>
              <w:spacing w:line="240" w:lineRule="auto"/>
              <w:ind w:rightChars="-12" w:right="-2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(S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tháng làm vi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th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t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trong năm dương l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ị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ch)/12 tháng</w:t>
            </w:r>
          </w:p>
        </w:tc>
      </w:tr>
    </w:tbl>
    <w:p w:rsidR="007C75CA" w:rsidRPr="00277121" w:rsidRDefault="00277121">
      <w:pPr>
        <w:spacing w:line="240" w:lineRule="auto"/>
        <w:ind w:leftChars="-200" w:left="-1" w:rightChars="-500" w:right="-1000" w:hangingChars="153" w:hanging="39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Trong đó:</w:t>
      </w:r>
    </w:p>
    <w:p w:rsidR="007C75CA" w:rsidRPr="00277121" w:rsidRDefault="00277121">
      <w:pPr>
        <w:numPr>
          <w:ilvl w:val="0"/>
          <w:numId w:val="3"/>
        </w:numPr>
        <w:spacing w:line="240" w:lineRule="auto"/>
        <w:ind w:rightChars="-500" w:right="-1000" w:hanging="8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như sau:</w:t>
      </w:r>
    </w:p>
    <w:p w:rsidR="007C75CA" w:rsidRPr="00277121" w:rsidRDefault="00277121">
      <w:pPr>
        <w:spacing w:line="240" w:lineRule="auto"/>
        <w:ind w:left="595" w:rightChars="-500" w:right="-1000" w:hangingChars="229" w:hanging="5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-  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không có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thay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trí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hay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trong năm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là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tháng ghi trên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đó;</w:t>
      </w:r>
    </w:p>
    <w:p w:rsidR="007C75CA" w:rsidRPr="00277121" w:rsidRDefault="00277121">
      <w:pPr>
        <w:spacing w:line="240" w:lineRule="auto"/>
        <w:ind w:left="598" w:rightChars="-500" w:right="-1000" w:hangingChars="230" w:hanging="5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-  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thăng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có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thuyên chuy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có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thay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theo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tương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giai đo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đó; và</w:t>
      </w:r>
    </w:p>
    <w:p w:rsidR="007C75CA" w:rsidRPr="00277121" w:rsidRDefault="00277121">
      <w:pPr>
        <w:spacing w:before="160" w:line="240" w:lineRule="auto"/>
        <w:ind w:left="598" w:rightChars="-500" w:right="-1000" w:hangingChars="230" w:hanging="5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-    Trong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ọ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p,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 phúc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sau đây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vào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ng: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sáng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ăn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ca;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xăng xe,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đi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 nhà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ẻ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nuôi con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ỏ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;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khi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có thân nhân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t,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có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thân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hôn, sinh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cho Ng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hoàn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khó khăn khi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tai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và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khác,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có.</w:t>
      </w:r>
    </w:p>
    <w:p w:rsidR="007C75CA" w:rsidRPr="00277121" w:rsidRDefault="00277121">
      <w:pPr>
        <w:numPr>
          <w:ilvl w:val="0"/>
          <w:numId w:val="3"/>
        </w:numPr>
        <w:spacing w:before="160" w:line="240" w:lineRule="auto"/>
        <w:ind w:rightChars="-500" w:right="-1000" w:hanging="8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lastRenderedPageBreak/>
        <w:t>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tháng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trong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bao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các ngày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bình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ngày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ễ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và ngày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có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ơng nhưng không bao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ngày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lương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Công ty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ý (như là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lương sau khi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thúc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thai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theo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nh,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các ngày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lương theo yêu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Công ty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n).</w:t>
      </w:r>
    </w:p>
    <w:p w:rsidR="007C75CA" w:rsidRPr="00277121" w:rsidRDefault="00277121">
      <w:pPr>
        <w:spacing w:before="160" w:line="240" w:lineRule="auto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5.3.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before="160" w:line="240" w:lineRule="auto"/>
        <w:ind w:left="398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(a)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như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5.1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Công ty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 đáp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anh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4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không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ễ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hơn ngày [30] tháng [01]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theo năm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before="160" w:line="240" w:lineRule="auto"/>
        <w:ind w:left="398" w:rightChars="-500" w:right="-1000" w:hangingChars="153" w:hanging="398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(b) Trong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qu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kinh doanh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vư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tiêu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ra, Công ty có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xem xét và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có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tăng thêm [m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1 tháng lương tương đương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0,5 (không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y năm) tháng lương].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Khi đó,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tăng thêm này,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có,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Công ty thanh toán không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ễ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hơn ngày [30] tháng [5]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theo năm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line="240" w:lineRule="auto"/>
        <w:ind w:leftChars="-300" w:rightChars="-500" w:right="-1000" w:hangingChars="230" w:hanging="60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6. Ti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 thành tích</w:t>
      </w:r>
    </w:p>
    <w:p w:rsidR="007C75CA" w:rsidRPr="00277121" w:rsidRDefault="00277121">
      <w:pPr>
        <w:numPr>
          <w:ilvl w:val="1"/>
          <w:numId w:val="4"/>
        </w:numPr>
        <w:spacing w:line="240" w:lineRule="auto"/>
        <w:ind w:leftChars="-300" w:left="-2" w:rightChars="-500" w:right="-1000" w:hangingChars="230" w:hanging="5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áp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line="240" w:lineRule="auto"/>
        <w:ind w:leftChars="-201" w:left="-399" w:rightChars="-500" w:right="-1000" w:hanging="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thành tích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áp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Công ty theo các nguyên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sau:</w:t>
      </w:r>
    </w:p>
    <w:p w:rsidR="007C75CA" w:rsidRPr="00277121" w:rsidRDefault="00277121">
      <w:pPr>
        <w:numPr>
          <w:ilvl w:val="0"/>
          <w:numId w:val="5"/>
        </w:numPr>
        <w:spacing w:line="240" w:lineRule="auto"/>
        <w:ind w:leftChars="-201" w:left="-12" w:rightChars="-500" w:right="-1000" w:hangingChars="150" w:hanging="3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 đáp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các nguyên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như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4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này; và</w:t>
      </w:r>
    </w:p>
    <w:p w:rsidR="007C75CA" w:rsidRPr="00277121" w:rsidRDefault="00277121">
      <w:pPr>
        <w:numPr>
          <w:ilvl w:val="0"/>
          <w:numId w:val="5"/>
        </w:numPr>
        <w:spacing w:line="240" w:lineRule="auto"/>
        <w:ind w:leftChars="-201" w:left="-12" w:rightChars="-500" w:right="-1000" w:hangingChars="150" w:hanging="3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hoàn thành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do Công ty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ánh giá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trên các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 tiêu chí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hoàn thành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trong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năm do hai bên xác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(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"Ch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hoàn thành KPIs"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7C75CA" w:rsidRPr="00277121" w:rsidRDefault="00277121">
      <w:pPr>
        <w:spacing w:line="240" w:lineRule="auto"/>
        <w:ind w:leftChars="-350" w:left="-700" w:rightChars="-500" w:right="-1000" w:firstLineChars="116" w:firstLine="30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6.2.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thành tích</w:t>
      </w:r>
    </w:p>
    <w:p w:rsidR="007C75CA" w:rsidRPr="00277121" w:rsidRDefault="00277121">
      <w:pPr>
        <w:spacing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thành tích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theo công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sau:</w:t>
      </w:r>
    </w:p>
    <w:tbl>
      <w:tblPr>
        <w:tblStyle w:val="TableGrid"/>
        <w:tblW w:w="9698" w:type="dxa"/>
        <w:tblInd w:w="-636" w:type="dxa"/>
        <w:tblLook w:val="04A0" w:firstRow="1" w:lastRow="0" w:firstColumn="1" w:lastColumn="0" w:noHBand="0" w:noVBand="1"/>
      </w:tblPr>
      <w:tblGrid>
        <w:gridCol w:w="2458"/>
        <w:gridCol w:w="574"/>
        <w:gridCol w:w="3550"/>
        <w:gridCol w:w="584"/>
        <w:gridCol w:w="2532"/>
      </w:tblGrid>
      <w:tr w:rsidR="00277121" w:rsidRPr="00277121">
        <w:trPr>
          <w:trHeight w:val="1086"/>
        </w:trPr>
        <w:tc>
          <w:tcPr>
            <w:tcW w:w="2458" w:type="dxa"/>
          </w:tcPr>
          <w:p w:rsidR="007C75CA" w:rsidRPr="00277121" w:rsidRDefault="00277121">
            <w:pPr>
              <w:widowControl/>
              <w:spacing w:line="240" w:lineRule="auto"/>
              <w:ind w:rightChars="-28" w:right="-5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ứ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 Ti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ề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 thư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ở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 thành tích</w:t>
            </w:r>
          </w:p>
        </w:tc>
        <w:tc>
          <w:tcPr>
            <w:tcW w:w="574" w:type="dxa"/>
          </w:tcPr>
          <w:p w:rsidR="007C75CA" w:rsidRPr="00277121" w:rsidRDefault="007C75CA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C75CA" w:rsidRPr="00277121" w:rsidRDefault="00277121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=</w:t>
            </w:r>
          </w:p>
        </w:tc>
        <w:tc>
          <w:tcPr>
            <w:tcW w:w="3550" w:type="dxa"/>
          </w:tcPr>
          <w:p w:rsidR="007C75CA" w:rsidRPr="00277121" w:rsidRDefault="007C75CA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C75CA" w:rsidRPr="00277121" w:rsidRDefault="00277121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ệ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s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ố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thư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ở</w:t>
            </w:r>
            <w:r w:rsidRPr="0027712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584" w:type="dxa"/>
          </w:tcPr>
          <w:p w:rsidR="007C75CA" w:rsidRPr="00277121" w:rsidRDefault="007C75CA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C75CA" w:rsidRPr="00277121" w:rsidRDefault="00277121">
            <w:pPr>
              <w:widowControl/>
              <w:spacing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2532" w:type="dxa"/>
          </w:tcPr>
          <w:p w:rsidR="007C75CA" w:rsidRPr="00277121" w:rsidRDefault="00277121">
            <w:pPr>
              <w:widowControl/>
              <w:spacing w:line="240" w:lineRule="auto"/>
              <w:ind w:right="-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ề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lương làm căn c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tính thư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7C75CA" w:rsidRPr="00277121" w:rsidRDefault="00277121">
      <w:pPr>
        <w:spacing w:line="240" w:lineRule="auto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  <w:u w:val="single"/>
        </w:rPr>
        <w:t>Trong đó:</w:t>
      </w:r>
    </w:p>
    <w:p w:rsidR="007C75CA" w:rsidRPr="00277121" w:rsidRDefault="00277121">
      <w:pPr>
        <w:numPr>
          <w:ilvl w:val="0"/>
          <w:numId w:val="6"/>
        </w:numPr>
        <w:spacing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theo thành tích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cá nhân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trên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hoàn thành KPIs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01 (m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t) trong 04 (b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n)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đánh giá như sau:</w:t>
      </w:r>
    </w:p>
    <w:tbl>
      <w:tblPr>
        <w:tblStyle w:val="TableGrid"/>
        <w:tblW w:w="9281" w:type="dxa"/>
        <w:tblInd w:w="-459" w:type="dxa"/>
        <w:tblLook w:val="04A0" w:firstRow="1" w:lastRow="0" w:firstColumn="1" w:lastColumn="0" w:noHBand="0" w:noVBand="1"/>
      </w:tblPr>
      <w:tblGrid>
        <w:gridCol w:w="371"/>
        <w:gridCol w:w="4305"/>
        <w:gridCol w:w="2455"/>
        <w:gridCol w:w="2150"/>
      </w:tblGrid>
      <w:tr w:rsidR="00277121" w:rsidRPr="00277121">
        <w:trPr>
          <w:trHeight w:val="920"/>
        </w:trPr>
        <w:tc>
          <w:tcPr>
            <w:tcW w:w="371" w:type="dxa"/>
            <w:shd w:val="clear" w:color="auto" w:fill="9CC2E5" w:themeFill="accent1" w:themeFillTint="99"/>
          </w:tcPr>
          <w:p w:rsidR="007C75CA" w:rsidRPr="00277121" w:rsidRDefault="00277121">
            <w:pPr>
              <w:widowControl/>
              <w:spacing w:before="160" w:line="240" w:lineRule="auto"/>
              <w:ind w:rightChars="-243" w:right="-4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305" w:type="dxa"/>
            <w:shd w:val="clear" w:color="auto" w:fill="9CC2E5" w:themeFill="accent1" w:themeFillTint="99"/>
          </w:tcPr>
          <w:p w:rsidR="007C75CA" w:rsidRPr="00277121" w:rsidRDefault="00277121">
            <w:pPr>
              <w:widowControl/>
              <w:spacing w:before="160" w:line="240" w:lineRule="auto"/>
              <w:ind w:rightChars="41" w:right="8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ỉ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hoàn thành KPIs</w:t>
            </w:r>
          </w:p>
        </w:tc>
        <w:tc>
          <w:tcPr>
            <w:tcW w:w="2455" w:type="dxa"/>
            <w:shd w:val="clear" w:color="auto" w:fill="9CC2E5" w:themeFill="accent1" w:themeFillTint="99"/>
          </w:tcPr>
          <w:p w:rsidR="007C75CA" w:rsidRPr="00277121" w:rsidRDefault="00277121">
            <w:pPr>
              <w:widowControl/>
              <w:spacing w:before="160" w:line="240" w:lineRule="auto"/>
              <w:ind w:rightChars="-67" w:right="-1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 tích làm vi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cá nhân</w:t>
            </w:r>
          </w:p>
        </w:tc>
        <w:tc>
          <w:tcPr>
            <w:tcW w:w="2150" w:type="dxa"/>
            <w:shd w:val="clear" w:color="auto" w:fill="9CC2E5" w:themeFill="accent1" w:themeFillTint="99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ệ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thư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</w:t>
            </w:r>
          </w:p>
        </w:tc>
      </w:tr>
      <w:tr w:rsidR="00277121" w:rsidRPr="00277121">
        <w:trPr>
          <w:trHeight w:val="648"/>
        </w:trPr>
        <w:tc>
          <w:tcPr>
            <w:tcW w:w="371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430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…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…</w:t>
            </w:r>
          </w:p>
        </w:tc>
        <w:tc>
          <w:tcPr>
            <w:tcW w:w="245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s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ắ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</w:t>
            </w:r>
          </w:p>
        </w:tc>
        <w:tc>
          <w:tcPr>
            <w:tcW w:w="2150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277121" w:rsidRPr="00277121">
        <w:trPr>
          <w:trHeight w:val="648"/>
        </w:trPr>
        <w:tc>
          <w:tcPr>
            <w:tcW w:w="371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0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…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…</w:t>
            </w:r>
          </w:p>
        </w:tc>
        <w:tc>
          <w:tcPr>
            <w:tcW w:w="245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 </w:t>
            </w:r>
          </w:p>
        </w:tc>
        <w:tc>
          <w:tcPr>
            <w:tcW w:w="2150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277121" w:rsidRPr="00277121">
        <w:trPr>
          <w:trHeight w:val="648"/>
        </w:trPr>
        <w:tc>
          <w:tcPr>
            <w:tcW w:w="371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0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ừ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…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ế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…</w:t>
            </w:r>
          </w:p>
        </w:tc>
        <w:tc>
          <w:tcPr>
            <w:tcW w:w="245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 </w:t>
            </w:r>
          </w:p>
        </w:tc>
        <w:tc>
          <w:tcPr>
            <w:tcW w:w="2150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277121" w:rsidRPr="00277121">
        <w:trPr>
          <w:trHeight w:val="669"/>
        </w:trPr>
        <w:tc>
          <w:tcPr>
            <w:tcW w:w="371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0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i…</w:t>
            </w:r>
          </w:p>
        </w:tc>
        <w:tc>
          <w:tcPr>
            <w:tcW w:w="2455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 đ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ạ</w:t>
            </w: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150" w:type="dxa"/>
          </w:tcPr>
          <w:p w:rsidR="007C75CA" w:rsidRPr="00277121" w:rsidRDefault="00277121">
            <w:pPr>
              <w:widowControl/>
              <w:spacing w:before="160" w:line="240" w:lineRule="auto"/>
              <w:ind w:rightChars="-500" w:right="-10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71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</w:tbl>
    <w:p w:rsidR="007C75CA" w:rsidRPr="00277121" w:rsidRDefault="007C75CA">
      <w:pPr>
        <w:spacing w:before="160" w:line="240" w:lineRule="auto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75CA" w:rsidRPr="00277121" w:rsidRDefault="007C75CA">
      <w:pPr>
        <w:spacing w:before="160" w:line="240" w:lineRule="auto"/>
        <w:ind w:leftChars="-429" w:left="-85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75CA" w:rsidRPr="00277121" w:rsidRDefault="00277121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:rsidR="007C75CA" w:rsidRPr="00277121" w:rsidRDefault="00277121">
      <w:pPr>
        <w:numPr>
          <w:ilvl w:val="0"/>
          <w:numId w:val="6"/>
        </w:numPr>
        <w:spacing w:line="240" w:lineRule="auto"/>
        <w:ind w:left="400" w:rightChars="-500" w:right="-1000" w:hanging="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lastRenderedPageBreak/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như sau:</w:t>
      </w:r>
    </w:p>
    <w:p w:rsidR="007C75CA" w:rsidRPr="00277121" w:rsidRDefault="00277121">
      <w:pPr>
        <w:spacing w:line="240" w:lineRule="auto"/>
        <w:ind w:leftChars="199" w:left="39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-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không có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t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thay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trí hay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trong năm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là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tháng ghi trên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đó;</w:t>
      </w:r>
    </w:p>
    <w:p w:rsidR="007C75CA" w:rsidRPr="00277121" w:rsidRDefault="00277121">
      <w:pPr>
        <w:spacing w:line="240" w:lineRule="auto"/>
        <w:ind w:leftChars="199" w:left="39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-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thăng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có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thuyên chuy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có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thay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theo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tương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giai đo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công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đó; và</w:t>
      </w:r>
    </w:p>
    <w:p w:rsidR="007C75CA" w:rsidRPr="00277121" w:rsidRDefault="00277121">
      <w:pPr>
        <w:spacing w:line="240" w:lineRule="auto"/>
        <w:ind w:leftChars="199" w:left="39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- Trong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ọ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p,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 phúc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sau đây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vào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 lương làm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ng: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sáng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ăn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ca;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xăng xe,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đi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 nhà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ẻ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nuôi con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ỏ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;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khi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có thân nhân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t,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có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thân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hôn, sinh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i lao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g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hoàn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khó khăn khi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tai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ngh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và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ỗ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,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khác,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có.</w:t>
      </w:r>
    </w:p>
    <w:p w:rsidR="007C75CA" w:rsidRPr="00277121" w:rsidRDefault="00277121">
      <w:pPr>
        <w:numPr>
          <w:ilvl w:val="1"/>
          <w:numId w:val="4"/>
        </w:numPr>
        <w:spacing w:line="240" w:lineRule="auto"/>
        <w:ind w:leftChars="-300" w:left="-2" w:rightChars="-500" w:right="-1000" w:hangingChars="230" w:hanging="5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line="240" w:lineRule="auto"/>
        <w:ind w:leftChars="29" w:left="139" w:rightChars="-500" w:right="-1000" w:hangingChars="31" w:hanging="8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thành tích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Công ty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ng đáp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như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nh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6.1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không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ễ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hơn ngày [30] tháng [05]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năm dương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theo năm xác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7C75CA">
      <w:pPr>
        <w:spacing w:line="240" w:lineRule="auto"/>
        <w:ind w:leftChars="-200" w:left="-202" w:rightChars="-500" w:right="-1000" w:hangingChars="76" w:hanging="1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C75CA" w:rsidRPr="00277121" w:rsidRDefault="00277121">
      <w:pPr>
        <w:spacing w:line="240" w:lineRule="auto"/>
        <w:ind w:leftChars="-200" w:left="-202" w:rightChars="-500" w:right="-1000" w:hangingChars="76" w:hanging="1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7. Các kho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 khác</w:t>
      </w:r>
    </w:p>
    <w:p w:rsidR="007C75CA" w:rsidRPr="00277121" w:rsidRDefault="00277121">
      <w:pPr>
        <w:spacing w:line="240" w:lineRule="auto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Công ty có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ỏ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văn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các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khác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i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riêng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 Trong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này,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thành tích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6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không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áp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 làm căn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tính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theo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7 này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theo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5 và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6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này.</w:t>
      </w:r>
    </w:p>
    <w:p w:rsidR="007C75CA" w:rsidRPr="00277121" w:rsidRDefault="007C75CA">
      <w:pPr>
        <w:spacing w:before="160" w:line="240" w:lineRule="auto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C75CA" w:rsidRPr="00277121" w:rsidRDefault="00277121">
      <w:pPr>
        <w:spacing w:before="160" w:line="240" w:lineRule="auto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CHƯƠNG III: 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KHO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THI HÀNH</w:t>
      </w:r>
    </w:p>
    <w:p w:rsidR="007C75CA" w:rsidRPr="00277121" w:rsidRDefault="00277121">
      <w:pPr>
        <w:spacing w:before="160" w:line="240" w:lineRule="auto"/>
        <w:ind w:leftChars="-199" w:left="1" w:rightChars="-500" w:right="-1000" w:hangingChars="153" w:hanging="39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8. Nghĩa v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ng</w:t>
      </w:r>
    </w:p>
    <w:p w:rsidR="007C75CA" w:rsidRPr="00277121" w:rsidRDefault="00277121">
      <w:pPr>
        <w:spacing w:before="160" w:line="240" w:lineRule="auto"/>
        <w:ind w:leftChars="-390" w:left="-780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có nghĩa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thanh toán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thu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p cá nhân 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(“TNCN”)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phát sinh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theo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do Công ty thanh toán theo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TNCN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hành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Nam. Công ty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TNCN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tính trên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cho cơ quan thu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có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quy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phương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khi thanh toán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before="160" w:line="240" w:lineRule="auto"/>
        <w:ind w:leftChars="-390" w:left="-780" w:rightChars="-500" w:right="-1000" w:firstLineChars="147" w:firstLine="38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9. S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a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i và b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sung Quy ch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</w:p>
    <w:p w:rsidR="007C75CA" w:rsidRPr="00277121" w:rsidRDefault="00277121">
      <w:pPr>
        <w:spacing w:before="160" w:line="240" w:lineRule="auto"/>
        <w:ind w:leftChars="-199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9.1. Trong quá trình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n, Công ty có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thay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y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ỏ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kho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nào trong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sau khi tham kh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 ý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Ban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hành Công đoàn cơ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/Ban lãnh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doanh nghi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m tuân theo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pháp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before="160" w:line="240" w:lineRule="auto"/>
        <w:ind w:leftChars="-199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9.2. M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ọ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i,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sung,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t,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và có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khi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[T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ng] Giám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là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di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theo pháp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quy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ký ban hành và công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công khai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nơi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sau khi tham kh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 ý ki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lastRenderedPageBreak/>
        <w:t>Ban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p hành Công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đoàn cơ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ở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/Ban lãnh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ứ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doanh nghi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ty.</w:t>
      </w:r>
    </w:p>
    <w:p w:rsidR="007C75CA" w:rsidRPr="00277121" w:rsidRDefault="00277121">
      <w:pPr>
        <w:spacing w:before="160" w:line="240" w:lineRule="auto"/>
        <w:ind w:leftChars="-199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9.3. Trong trư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dung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và/ho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mà Công ty và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đã ký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có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khác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các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trong Quy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và nh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ữ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đó có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hơn cho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ng, thì các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liên quan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 ho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ưu tiên áp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before="160" w:line="240" w:lineRule="auto"/>
        <w:ind w:leftChars="-199" w:left="1" w:rightChars="-500" w:right="-1000" w:hangingChars="153" w:hanging="39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10. Đi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u kho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thi hành</w:t>
      </w:r>
    </w:p>
    <w:p w:rsidR="007C75CA" w:rsidRPr="00277121" w:rsidRDefault="00277121">
      <w:pPr>
        <w:spacing w:before="160" w:line="240" w:lineRule="auto"/>
        <w:ind w:leftChars="-200" w:left="253" w:rightChars="-500" w:right="-1000" w:hangingChars="251" w:hanging="653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10.1.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so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o,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gi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thích và đi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u 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ỉ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theo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pháp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Nam.</w:t>
      </w:r>
    </w:p>
    <w:p w:rsidR="007C75CA" w:rsidRPr="00277121" w:rsidRDefault="00277121">
      <w:pPr>
        <w:spacing w:before="160" w:line="240" w:lineRule="auto"/>
        <w:ind w:leftChars="-200" w:left="125" w:rightChars="-500" w:right="-1000" w:hangingChars="202" w:hanging="5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10.2.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có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k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ể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ngày ký, Công ty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thông báo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 công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r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rãi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nơi làm vi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Ngư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ờ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7C75CA" w:rsidRPr="00277121" w:rsidRDefault="00277121">
      <w:pPr>
        <w:spacing w:before="160" w:line="240" w:lineRule="auto"/>
        <w:ind w:leftChars="-200" w:left="125" w:rightChars="-500" w:right="-1000" w:hangingChars="202" w:hanging="5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10.3. Các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ề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lương, ph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ấ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p,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 phúc l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khác chưa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trong Quy ch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này s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ẽ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th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ự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 hi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theo các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khác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Công ty (n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ế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u có) và các quy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ị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nh có liên quan c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ủ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a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ậ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t Lao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ộ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và các văn b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hư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ớ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 d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ẫ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 thi hành.</w:t>
      </w:r>
    </w:p>
    <w:p w:rsidR="007C75CA" w:rsidRPr="00277121" w:rsidRDefault="00277121">
      <w:pPr>
        <w:spacing w:before="160" w:line="240" w:lineRule="auto"/>
        <w:ind w:leftChars="-200" w:left="125" w:rightChars="-500" w:right="-1000" w:hangingChars="202" w:hanging="5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….……</w:t>
      </w:r>
      <w:proofErr w:type="gramStart"/>
      <w:r w:rsidRPr="00277121">
        <w:rPr>
          <w:rFonts w:ascii="Times New Roman" w:hAnsi="Times New Roman"/>
          <w:color w:val="000000" w:themeColor="text1"/>
          <w:sz w:val="26"/>
          <w:szCs w:val="26"/>
        </w:rPr>
        <w:t>…..</w:t>
      </w:r>
      <w:proofErr w:type="gramEnd"/>
      <w:r w:rsidRPr="00277121">
        <w:rPr>
          <w:rFonts w:ascii="Times New Roman" w:hAnsi="Times New Roman"/>
          <w:color w:val="000000" w:themeColor="text1"/>
          <w:sz w:val="26"/>
          <w:szCs w:val="26"/>
        </w:rPr>
        <w:t>, [ngày] [tháng] [năm]</w:t>
      </w:r>
    </w:p>
    <w:p w:rsidR="007C75CA" w:rsidRPr="00277121" w:rsidRDefault="00277121">
      <w:pPr>
        <w:spacing w:before="160" w:line="240" w:lineRule="auto"/>
        <w:ind w:rightChars="-500" w:right="-1000" w:firstLineChars="1000" w:firstLine="261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Thay m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ặ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t và đ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i di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 w:rsidRPr="00277121">
        <w:rPr>
          <w:rFonts w:ascii="Times New Roman" w:hAnsi="Times New Roman"/>
          <w:b/>
          <w:bCs/>
          <w:color w:val="000000" w:themeColor="text1"/>
          <w:sz w:val="26"/>
          <w:szCs w:val="26"/>
        </w:rPr>
        <w:t>n cho Công ty</w:t>
      </w:r>
    </w:p>
    <w:p w:rsidR="007C75CA" w:rsidRPr="00277121" w:rsidRDefault="007C75CA">
      <w:pPr>
        <w:spacing w:before="160" w:line="240" w:lineRule="auto"/>
        <w:ind w:leftChars="-429" w:left="-85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75CA" w:rsidRPr="00277121" w:rsidRDefault="007C75CA">
      <w:pPr>
        <w:spacing w:before="160" w:line="240" w:lineRule="auto"/>
        <w:ind w:leftChars="-429" w:left="-85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75CA" w:rsidRPr="00277121" w:rsidRDefault="007C75CA">
      <w:pPr>
        <w:spacing w:before="160" w:line="240" w:lineRule="auto"/>
        <w:ind w:leftChars="-429" w:left="-85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75CA" w:rsidRPr="00277121" w:rsidRDefault="00277121">
      <w:pPr>
        <w:spacing w:before="160" w:line="240" w:lineRule="auto"/>
        <w:ind w:leftChars="-429" w:left="-858"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noProof/>
          <w:color w:val="000000" w:themeColor="text1"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1B4684B6" wp14:editId="7B5DF3BC">
                <wp:simplePos x="0" y="0"/>
                <wp:positionH relativeFrom="column">
                  <wp:posOffset>1934210</wp:posOffset>
                </wp:positionH>
                <wp:positionV relativeFrom="paragraph">
                  <wp:posOffset>119380</wp:posOffset>
                </wp:positionV>
                <wp:extent cx="1568450" cy="19050"/>
                <wp:effectExtent l="0" t="4445" r="6350" b="1460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7210" y="4382770"/>
                          <a:ext cx="156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F7A1C" id="Straight Connector 214" o:spid="_x0000_s1026" style="position:absolute;z-index:2529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pt,9.4pt" to="275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C75CA" w:rsidRPr="00277121" w:rsidRDefault="00277121">
      <w:pPr>
        <w:spacing w:before="160" w:line="240" w:lineRule="auto"/>
        <w:ind w:rightChars="-500" w:right="-1000" w:firstLineChars="1350" w:firstLine="35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[H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ọ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 xml:space="preserve"> và tên]</w:t>
      </w:r>
    </w:p>
    <w:p w:rsidR="007C75CA" w:rsidRPr="00277121" w:rsidRDefault="00277121">
      <w:pPr>
        <w:ind w:firstLineChars="1200" w:firstLine="3120"/>
        <w:rPr>
          <w:color w:val="000000" w:themeColor="text1"/>
        </w:rPr>
      </w:pPr>
      <w:r w:rsidRPr="00277121">
        <w:rPr>
          <w:rFonts w:ascii="Times New Roman" w:hAnsi="Times New Roman"/>
          <w:color w:val="000000" w:themeColor="text1"/>
          <w:sz w:val="26"/>
          <w:szCs w:val="26"/>
        </w:rPr>
        <w:t>[T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ổ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ng] Giám 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ố</w:t>
      </w:r>
      <w:r w:rsidRPr="00277121">
        <w:rPr>
          <w:rFonts w:ascii="Times New Roman" w:hAnsi="Times New Roman"/>
          <w:color w:val="000000" w:themeColor="text1"/>
          <w:sz w:val="26"/>
          <w:szCs w:val="26"/>
        </w:rPr>
        <w:t>c</w:t>
      </w:r>
    </w:p>
    <w:sectPr w:rsidR="007C75CA" w:rsidRPr="002771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5C74C4"/>
    <w:multiLevelType w:val="multilevel"/>
    <w:tmpl w:val="A35C74C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9AA41D"/>
    <w:multiLevelType w:val="singleLevel"/>
    <w:tmpl w:val="0A9AA41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E662721"/>
    <w:multiLevelType w:val="multilevel"/>
    <w:tmpl w:val="4E6627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E21C56B"/>
    <w:multiLevelType w:val="multilevel"/>
    <w:tmpl w:val="5E21C56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69F2B3C"/>
    <w:multiLevelType w:val="hybridMultilevel"/>
    <w:tmpl w:val="00EE1494"/>
    <w:lvl w:ilvl="0" w:tplc="CEAAC7FE">
      <w:numFmt w:val="bullet"/>
      <w:lvlText w:val="-"/>
      <w:lvlJc w:val="left"/>
      <w:pPr>
        <w:ind w:left="-50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</w:abstractNum>
  <w:abstractNum w:abstractNumId="5" w15:restartNumberingAfterBreak="0">
    <w:nsid w:val="7155B869"/>
    <w:multiLevelType w:val="singleLevel"/>
    <w:tmpl w:val="7155B86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 w15:restartNumberingAfterBreak="0">
    <w:nsid w:val="725CD931"/>
    <w:multiLevelType w:val="singleLevel"/>
    <w:tmpl w:val="725CD931"/>
    <w:lvl w:ilvl="0">
      <w:start w:val="1"/>
      <w:numFmt w:val="lowerLetter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A6"/>
    <w:rsid w:val="00277121"/>
    <w:rsid w:val="007C75CA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F77B5"/>
  <w15:docId w15:val="{92639257-3588-4CC7-AE16-E90AF894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27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Hảo Thanh</dc:creator>
  <cp:lastModifiedBy>Nguyen Dinh Thai An</cp:lastModifiedBy>
  <cp:revision>2</cp:revision>
  <dcterms:created xsi:type="dcterms:W3CDTF">2023-07-07T07:56:00Z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