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014FF0" w:rsidRPr="00014FF0" w:rsidTr="00014FF0">
        <w:trPr>
          <w:tblCellSpacing w:w="0" w:type="dxa"/>
        </w:trPr>
        <w:tc>
          <w:tcPr>
            <w:tcW w:w="3345" w:type="dxa"/>
            <w:hideMark/>
          </w:tcPr>
          <w:p w:rsidR="00014FF0" w:rsidRPr="00014FF0" w:rsidRDefault="00014FF0" w:rsidP="00014FF0">
            <w:pPr>
              <w:spacing w:before="100" w:beforeAutospacing="1" w:after="100" w:afterAutospacing="1" w:line="240" w:lineRule="auto"/>
              <w:jc w:val="center"/>
              <w:rPr>
                <w:rFonts w:eastAsia="Times New Roman" w:cs="Times New Roman"/>
                <w:sz w:val="20"/>
                <w:szCs w:val="20"/>
              </w:rPr>
            </w:pPr>
            <w:r w:rsidRPr="00014FF0">
              <w:rPr>
                <w:rFonts w:eastAsia="Times New Roman" w:cs="Times New Roman"/>
                <w:b/>
                <w:bCs/>
                <w:sz w:val="20"/>
                <w:szCs w:val="20"/>
              </w:rPr>
              <w:t>BỘ GIÁO DỤC VÀ ĐÀO TẠO</w:t>
            </w:r>
            <w:r w:rsidRPr="00014FF0">
              <w:rPr>
                <w:rFonts w:eastAsia="Times New Roman" w:cs="Times New Roman"/>
                <w:b/>
                <w:bCs/>
                <w:sz w:val="20"/>
                <w:szCs w:val="20"/>
              </w:rPr>
              <w:br/>
              <w:t>-------</w:t>
            </w:r>
          </w:p>
        </w:tc>
        <w:tc>
          <w:tcPr>
            <w:tcW w:w="5505" w:type="dxa"/>
            <w:hideMark/>
          </w:tcPr>
          <w:p w:rsidR="00014FF0" w:rsidRPr="00014FF0" w:rsidRDefault="00014FF0" w:rsidP="00014FF0">
            <w:pPr>
              <w:spacing w:before="100" w:beforeAutospacing="1" w:after="100" w:afterAutospacing="1" w:line="240" w:lineRule="auto"/>
              <w:jc w:val="center"/>
              <w:rPr>
                <w:rFonts w:eastAsia="Times New Roman" w:cs="Times New Roman"/>
                <w:sz w:val="20"/>
                <w:szCs w:val="20"/>
              </w:rPr>
            </w:pPr>
            <w:r w:rsidRPr="00014FF0">
              <w:rPr>
                <w:rFonts w:eastAsia="Times New Roman" w:cs="Times New Roman"/>
                <w:b/>
                <w:bCs/>
                <w:sz w:val="20"/>
                <w:szCs w:val="20"/>
              </w:rPr>
              <w:t>CỘNG HÒA XÃ HỘI CHỦ NGHĨA VIỆT NAM</w:t>
            </w:r>
            <w:r w:rsidRPr="00014FF0">
              <w:rPr>
                <w:rFonts w:eastAsia="Times New Roman" w:cs="Times New Roman"/>
                <w:b/>
                <w:bCs/>
                <w:sz w:val="20"/>
                <w:szCs w:val="20"/>
              </w:rPr>
              <w:br/>
              <w:t xml:space="preserve">Độc lập - Tự do - Hạnh phúc </w:t>
            </w:r>
            <w:r w:rsidRPr="00014FF0">
              <w:rPr>
                <w:rFonts w:eastAsia="Times New Roman" w:cs="Times New Roman"/>
                <w:b/>
                <w:bCs/>
                <w:sz w:val="20"/>
                <w:szCs w:val="20"/>
              </w:rPr>
              <w:br/>
              <w:t>---------------</w:t>
            </w:r>
          </w:p>
        </w:tc>
      </w:tr>
      <w:tr w:rsidR="00014FF0" w:rsidRPr="00014FF0" w:rsidTr="00014FF0">
        <w:trPr>
          <w:tblCellSpacing w:w="0" w:type="dxa"/>
        </w:trPr>
        <w:tc>
          <w:tcPr>
            <w:tcW w:w="3345" w:type="dxa"/>
            <w:hideMark/>
          </w:tcPr>
          <w:p w:rsidR="00014FF0" w:rsidRPr="00014FF0" w:rsidRDefault="00014FF0" w:rsidP="00014FF0">
            <w:pPr>
              <w:spacing w:before="100" w:beforeAutospacing="1" w:after="100" w:afterAutospacing="1" w:line="240" w:lineRule="auto"/>
              <w:jc w:val="center"/>
              <w:rPr>
                <w:rFonts w:eastAsia="Times New Roman" w:cs="Times New Roman"/>
                <w:sz w:val="20"/>
                <w:szCs w:val="20"/>
              </w:rPr>
            </w:pPr>
            <w:r w:rsidRPr="00014FF0">
              <w:rPr>
                <w:rFonts w:eastAsia="Times New Roman" w:cs="Times New Roman"/>
                <w:sz w:val="20"/>
                <w:szCs w:val="20"/>
              </w:rPr>
              <w:t>Số: 13/2021/TT-BGDĐT</w:t>
            </w:r>
          </w:p>
        </w:tc>
        <w:tc>
          <w:tcPr>
            <w:tcW w:w="5505" w:type="dxa"/>
            <w:hideMark/>
          </w:tcPr>
          <w:p w:rsidR="00014FF0" w:rsidRPr="00014FF0" w:rsidRDefault="00014FF0" w:rsidP="00014FF0">
            <w:pPr>
              <w:spacing w:before="100" w:beforeAutospacing="1" w:after="100" w:afterAutospacing="1" w:line="240" w:lineRule="auto"/>
              <w:jc w:val="right"/>
              <w:rPr>
                <w:rFonts w:eastAsia="Times New Roman" w:cs="Times New Roman"/>
                <w:sz w:val="20"/>
                <w:szCs w:val="20"/>
              </w:rPr>
            </w:pPr>
            <w:r w:rsidRPr="00014FF0">
              <w:rPr>
                <w:rFonts w:eastAsia="Times New Roman" w:cs="Times New Roman"/>
                <w:i/>
                <w:iCs/>
                <w:sz w:val="20"/>
                <w:szCs w:val="20"/>
              </w:rPr>
              <w:t>Hà Nội, ngày 15 tháng 04 năm 2021</w:t>
            </w:r>
          </w:p>
        </w:tc>
      </w:tr>
    </w:tbl>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 </w:t>
      </w:r>
    </w:p>
    <w:p w:rsidR="00014FF0" w:rsidRPr="00014FF0" w:rsidRDefault="00014FF0" w:rsidP="00014FF0">
      <w:pPr>
        <w:spacing w:before="100" w:beforeAutospacing="1" w:after="100" w:afterAutospacing="1" w:line="240" w:lineRule="auto"/>
        <w:jc w:val="center"/>
        <w:rPr>
          <w:rFonts w:eastAsia="Times New Roman" w:cs="Times New Roman"/>
          <w:sz w:val="20"/>
          <w:szCs w:val="20"/>
        </w:rPr>
      </w:pPr>
      <w:bookmarkStart w:id="0" w:name="loai_1"/>
      <w:r w:rsidRPr="00014FF0">
        <w:rPr>
          <w:rFonts w:eastAsia="Times New Roman" w:cs="Times New Roman"/>
          <w:b/>
          <w:bCs/>
          <w:sz w:val="20"/>
          <w:szCs w:val="20"/>
        </w:rPr>
        <w:t>THÔNG TƯ</w:t>
      </w:r>
      <w:bookmarkEnd w:id="0"/>
    </w:p>
    <w:p w:rsidR="00014FF0" w:rsidRPr="00014FF0" w:rsidRDefault="00014FF0" w:rsidP="00014FF0">
      <w:pPr>
        <w:spacing w:before="100" w:beforeAutospacing="1" w:after="100" w:afterAutospacing="1" w:line="240" w:lineRule="auto"/>
        <w:jc w:val="center"/>
        <w:rPr>
          <w:rFonts w:eastAsia="Times New Roman" w:cs="Times New Roman"/>
          <w:sz w:val="20"/>
          <w:szCs w:val="20"/>
        </w:rPr>
      </w:pPr>
      <w:bookmarkStart w:id="1" w:name="loai_1_name"/>
      <w:r w:rsidRPr="00014FF0">
        <w:rPr>
          <w:rFonts w:eastAsia="Times New Roman" w:cs="Times New Roman"/>
          <w:sz w:val="20"/>
          <w:szCs w:val="20"/>
        </w:rPr>
        <w:t>QUY ĐỊNH VỀ ĐIỀU KIỆN, TRÌNH TỰ, THỦ TỤC, THẨM QUYỀN CÔNG NHẬN VĂN BẰNG DO CƠ SỞ GIÁO DỤC NƯỚC NGOÀI CẤP ĐỂ SỬ DỤNG TẠI VIỆT NAM</w:t>
      </w:r>
      <w:bookmarkStart w:id="2" w:name="_GoBack"/>
      <w:bookmarkEnd w:id="1"/>
      <w:bookmarkEnd w:id="2"/>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i/>
          <w:iCs/>
          <w:sz w:val="20"/>
          <w:szCs w:val="20"/>
        </w:rPr>
        <w:t>Căn cứ Luật Giáo dục ngày 14 tháng 6 năm 2019;</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i/>
          <w:iCs/>
          <w:sz w:val="20"/>
          <w:szCs w:val="20"/>
        </w:rPr>
        <w:t>Căn cứ Luật Giáo dục đại học ngày 18 tháng 6 năm 2012; Luật sửa đổi, bổ sung một số điều của Luật Giáo dục đại học ngày 19 tháng 11 năm 2018;</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i/>
          <w:iCs/>
          <w:sz w:val="20"/>
          <w:szCs w:val="20"/>
        </w:rPr>
        <w:t xml:space="preserve">Căn cứ Nghị định số </w:t>
      </w:r>
      <w:hyperlink r:id="rId5" w:tgtFrame="_blank" w:tooltip="Nghị định 69/2017/NĐ-CP" w:history="1">
        <w:r w:rsidRPr="00014FF0">
          <w:rPr>
            <w:i/>
            <w:sz w:val="20"/>
            <w:szCs w:val="20"/>
          </w:rPr>
          <w:t>69/2017/NĐ-CP</w:t>
        </w:r>
      </w:hyperlink>
      <w:r w:rsidRPr="00014FF0">
        <w:rPr>
          <w:rFonts w:eastAsia="Times New Roman" w:cs="Times New Roman"/>
          <w:i/>
          <w:iCs/>
          <w:sz w:val="20"/>
          <w:szCs w:val="20"/>
        </w:rPr>
        <w:t xml:space="preserve"> ngày 25 tháng 5 năm 2017 của Chính phủ quy định chức năng, nhiệm vụ, quyền hạn và cơ cấu tổ chức của Bộ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i/>
          <w:iCs/>
          <w:sz w:val="20"/>
          <w:szCs w:val="20"/>
        </w:rPr>
        <w:t>Theo đề nghị của Cục trưởng Cục Quản lý chất lượng;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i/>
          <w:iCs/>
          <w:sz w:val="20"/>
          <w:szCs w:val="20"/>
        </w:rPr>
        <w:t>Bộ trưởng Bộ Giáo dục và Đào tạo ban hành Thông tư quy định về điều kiện, trình tự, thủ tục, thẩm quyền công nhận văn bằng do cơ sở giáo dục nước ngoài cấp để sử dụng tại Việt Nam.</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3" w:name="dieu_1"/>
      <w:r w:rsidRPr="00014FF0">
        <w:rPr>
          <w:rFonts w:eastAsia="Times New Roman" w:cs="Times New Roman"/>
          <w:b/>
          <w:bCs/>
          <w:sz w:val="20"/>
          <w:szCs w:val="20"/>
        </w:rPr>
        <w:t>Điều 1. Phạm vi điều chỉnh và đối tượng áp dụng</w:t>
      </w:r>
      <w:bookmarkEnd w:id="3"/>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Thông tư này quy định về điều kiện, trình tự, thủ tục, thẩm quyền công nhận văn bằng do cơ sở giáo dục nước ngoài cấp để sử dụng tại Việt Nam bao gồm: bằng tốt nghiệp trung học cơ sở, bằng tốt nghiệp trung học phổ thông, giấy chứng nhận hoàn thành chương trình giáo dục phổ thông, bằng cử nhân, bằng thạc sĩ, bằng tiến sĩ và văn bằng trình độ tương đương (sau đây gọi chung là văn bằng).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Thông tư này áp dụng đối với:</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Cục Quản lý chất lượng thuộc Bộ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Cơ quan chuyên môn về giáo dục thuộc Ủy ban nhân dân tỉnh, thành phố trực thuộc Trung ương (sau đây gọi là Sở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c) Các tổ chức và cá nhân có liên quan đến hoạt động công nhận văn bằng do cơ sở giáo dục nước ngoài cấp để sử dụng tại Việt Nam.</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4" w:name="dieu_2"/>
      <w:r w:rsidRPr="00014FF0">
        <w:rPr>
          <w:rFonts w:eastAsia="Times New Roman" w:cs="Times New Roman"/>
          <w:b/>
          <w:bCs/>
          <w:sz w:val="20"/>
          <w:szCs w:val="20"/>
        </w:rPr>
        <w:t>Điều 2. Công nhận văn bằng</w:t>
      </w:r>
      <w:bookmarkEnd w:id="4"/>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Công nhận văn bằng do cơ sở giáo dục nước ngoài cấp để sử dụng tại Việt Nam (sau đây gọi là công nhận văn bằng) là việc công nhận trình độ của người học được ghi trên văn bằng theo hệ thống giáo dục của nước nơi cơ sở giáo dục nước ngoài đặt trụ sở chính và xác định mức độ tương đương với trình độ đào tạo quy định tại Khung trình độ Quốc gia Việt Nam.</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5" w:name="dieu_3"/>
      <w:r w:rsidRPr="00014FF0">
        <w:rPr>
          <w:rFonts w:eastAsia="Times New Roman" w:cs="Times New Roman"/>
          <w:b/>
          <w:bCs/>
          <w:sz w:val="20"/>
          <w:szCs w:val="20"/>
        </w:rPr>
        <w:t>Điều 3. Nguyên tắc công nhận văn bằng</w:t>
      </w:r>
      <w:bookmarkEnd w:id="5"/>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lastRenderedPageBreak/>
        <w:t>1. Công nhận văn bằng được thực hiện theo nhu cầu của người có văn bằng, cơ quan quản lý về nhân sự hoặc đơn vị quản lý lao động khi được sự đồng ý của người có văn bằng (sau đây gọi chung là người đề nghị công nhận văn bằng).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Văn bằng do cơ sở giáo dục nước ngoài cấp được công nhận khi người học hoàn thành chương trình giáo dục bảo đảm chất lượng theo quy định của nước nơi cơ sở giáo dục nước ngoài đặt trụ sở chính và được cơ quan có thẩm quyền về giáo dục của nước đó công nhận quy định tại Điều 4 Thông tư này.</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3. Văn bằng do cơ sở giáo dục nước ngoài cấp được miễn thực hiện thủ tục công nhận văn bằng khi đáp ứng quy định tại Điều 5 Thông tư này.</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4. Cơ sở giáo dục đại học căn cứ các điều kiện quy định tại Điều 4 Thông tư này tự đánh giá văn bằng để sử dụng trong hoạt động đào tạo và tự chịu trách nhiệm trước pháp luật về kết quả đánh giá văn bằng. Trường hợp cần thiết, cơ sở giáo dục đại học yêu cầu người có văn bằng thực hiện thủ tục công nhận văn bằng quy định tại Điều 7 Thông tư này.</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6" w:name="dieu_4"/>
      <w:r w:rsidRPr="00014FF0">
        <w:rPr>
          <w:rFonts w:eastAsia="Times New Roman" w:cs="Times New Roman"/>
          <w:b/>
          <w:bCs/>
          <w:sz w:val="20"/>
          <w:szCs w:val="20"/>
        </w:rPr>
        <w:t>Điều 4. Điều kiện công nhận văn bằng</w:t>
      </w:r>
      <w:bookmarkEnd w:id="6"/>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Văn bằng do cơ sở giáo dục nước ngoài cấp cho người học được công nhận khi chương trình giáo dục có thời gian học, nghiên cứu phù hợp với Khung cơ cấu hệ thống giáo dục quốc dân của Việt Nam và đáp ứng một trong hai điều kiện sau:</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Chương trình giáo dục được tổ chức kiểm định chất lượng giáo dục của nước nơi cơ sở giáo dục nước ngoài đặt trụ sở chính kiểm định chất lượng tương ứng với hình thức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Cơ sở giáo dục nước ngoài được cơ quan có thẩm quyền về giáo dục của nước nơi cơ sở giáo dục đặt trụ sở chính cho phép đào tạo, cấp bằng hoặc đã được tổ chức kiểm định chất lượng giáo dục của nước nơi cơ sở giáo dục nước ngoài đặt trụ sở chính kiểm định chất lượng.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Văn bằng được cấp bởi cơ sở giáo dục nước ngoài đang hoạt động tại nước khác nơi cơ sở giáo dục đặt trụ sở chính (bao gồm cả Việt Nam) được công nhận khi cơ sở giáo dục đó được cơ quan có thẩm quyền về giáo dục của hai nước cho phép mở phân hiệu, cho phép đào tạo hoặc phê duyệt việc hợp tác, liên kết đào tạo; thực hiện hoạt động đào tạo theo giấy phép đồng thời đáp ứng quy định tại khoản 1 Điều này.</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3. Văn bằng do cơ sở giáo dục nước ngoài cấp cho người học theo hình thức đào tạo trực tuyến, đào tạo trực tiếp kết hợp trực tuyến được công nhận khi đáp ứng quy định tại điểm a khoản 1 Điều này và một trong hai điều kiện sau:</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Chương trình đào tạo được Bộ Giáo dục và Đào tạo cấp phép đào tạo tại Việt Nam khi người học lưu trú và học tập tại Việt Nam;</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Chương trình đào tạo được cơ quan có thẩm quyền về giáo dục của nước nơi tổ chức đào tạo cấp phép khi người học lưu trú và học tập tại nước đó.</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4. Việc công nhận văn bằng do cơ sở giáo dục nước ngoài cấp cho người học bị ảnh hưởng bởi chiến tranh, thiên tai, dịch bệnh, hỏa hoạn và các trường hợp bất khả kháng khác do Bộ trưởng Bộ Giáo dục và Đào tạo quyết định.</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7" w:name="dieu_5"/>
      <w:r w:rsidRPr="00014FF0">
        <w:rPr>
          <w:rFonts w:eastAsia="Times New Roman" w:cs="Times New Roman"/>
          <w:b/>
          <w:bCs/>
          <w:sz w:val="20"/>
          <w:szCs w:val="20"/>
        </w:rPr>
        <w:t>Điều 5. Miễn thực hiện thủ tục công nhận văn bằng</w:t>
      </w:r>
      <w:bookmarkEnd w:id="7"/>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Văn bằng do cơ sở giáo dục nước ngoài cấp cho người học được công nhận để sử dụng tại Việt Nam mà không phải thực hiện thủ tục công nhận văn bằng gồm:</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lastRenderedPageBreak/>
        <w:t>a) Văn bằng của cơ sở giáo dục nước ngoài thuộc phạm vi áp dụng của hiệp định, thỏa thuận về tương đương văn bằng hoặc công nhận lẫn nhau về văn bằng hoặc điều ước quốc tế có liên quan đến văn bằng mà nước Cộng hòa xã hội chủ nghĩa Việt Nam đã ký kết do Bộ Giáo dục và Đào tạo công bố;</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Văn bằng của cơ sở giáo dục nước ngoài cấp cho người học được Bộ Giáo dục và Đào tạo cử đi học bằng ngân sách Nhà nước;</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c) Văn bằng do cơ sở giáo dục nước ngoài cấp cho người học theo chương trình liên kết đào tạo với nước ngoài tại Việt Nam đã được cấp có thẩm quyền phê duyệt từ thời điểm Luật sửa đổi, bổ sung một số điều của Luật Giáo dục đại học (Luật số 34/2018/QH14 ngày 19/11/2018) có hiệu lực thi hành.</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Văn bằng quy định tại khoản 1 Điều này phải đáp ứng các yêu cầu sau:</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Tên văn bằng phù hợp với quy định về văn bằng của hệ thống giáo dục quốc dân Việt Nam;</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Thời gian đào tạo và điều kiện tuyển sinh phù hợp với quy định của Bộ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c) Đào tạo theo hình thức trực tiếp hoặc đào tạo theo hình thức trực tiếp kết hợp trực tuyến mà thời lượng giảng dạy trực tuyến không quá 30% tổng thời lượng của chương trình.</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3. Việc miễn thực hiện thủ tục công nhận văn bằng không bao gồm việc xác thực văn bằng; cơ quan, tổ chức hoặc người sử dụng lao động chịu trách nhiệm xác thực văn bằng trong trường hợp cần thiết.</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8" w:name="dieu_6"/>
      <w:r w:rsidRPr="00014FF0">
        <w:rPr>
          <w:rFonts w:eastAsia="Times New Roman" w:cs="Times New Roman"/>
          <w:b/>
          <w:bCs/>
          <w:sz w:val="20"/>
          <w:szCs w:val="20"/>
        </w:rPr>
        <w:t>Điều 6. Thẩm quyền công nhận văn bằng</w:t>
      </w:r>
      <w:bookmarkEnd w:id="8"/>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Cục trưởng Cục Quản lý chất lượng thuộc Bộ Giáo dục và Đào tạo công nhận bằng cử nhân, bằng thạc sĩ, bằng tiến sĩ và văn bằng trình độ tương đương.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Giám đốc Sở Giáo dục và Đào tạo công nhận bằng tốt nghiệp trung học cơ sở, bằng tốt nghiệp trung học phổ thông, giấy chứng nhận hoàn thành chương trình giáo dục phổ thông.</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9" w:name="dieu_7"/>
      <w:r w:rsidRPr="00014FF0">
        <w:rPr>
          <w:rFonts w:eastAsia="Times New Roman" w:cs="Times New Roman"/>
          <w:b/>
          <w:bCs/>
          <w:sz w:val="20"/>
          <w:szCs w:val="20"/>
        </w:rPr>
        <w:t>Điều 7. Trình tự, thủ tục công nhận văn bằng</w:t>
      </w:r>
      <w:bookmarkEnd w:id="9"/>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Người đề nghị công nhận văn bằng cung cấp các thông tin về văn bằng quy định tại Phụ lục I Thông tư này tại Cổng dịch vụ công trực tuyến của Bộ Giáo dục và Đào tạo hoặc Sở Giáo dục và Đào tạo (sau đây gọi chung là cơ quan có thẩm quyền công nhận văn bằng). Các minh chứng để xác thực văn bằng gửi trực tiếp hoặc qua đường bưu điện đến cơ quan có thẩm quyền công nhận văn bằng bao gồm:</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Bản sao văn bằng hoặc bản sao từ sổ gốc cấp văn bằng đề nghị công nhận kèm theo bản công chứng dịch sang tiếng Việt và bản sao văn bằng, chứng chỉ có liên quan trực tiếp;</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Bản sao phụ lục văn bằng hoặc bảng kết quả học tập kèm theo bản công chứng dịch sang tiếng Việt;</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c) Minh chứng thời gian học ở nước ngoài (nếu có);</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d) Văn bản ủy quyền xác minh thông tin về văn bằng (nếu cơ sở giáo dục cấp bằng yêu cầu).</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Trong thời hạn 20 ngày làm việc, cơ quan có thẩm quyền công nhận văn bằng có trách nhiệm trả kết quả công nhận văn bằng cho người đề nghị công nhận văn bằng. Trường hợp cần xác minh thông tin về văn bằng từ cơ sở giáo dục nước ngoài hoặc đơn vị xác thực nước ngoài, thời hạn trả kết quả công nhận văn bằng không vượt quá 45 ngày làm việc kể từ ngày tiếp nhận hồ sơ công nhận văn bằng.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lastRenderedPageBreak/>
        <w:t>3. Kết quả công nhận văn bằng được ghi trên giấy công nhận theo mẫu tại Phụ lục II và Phụ lục III Thông tư này. Trường hợp văn bằng không đủ điều kiện công nhận hoặc quá thời hạn quy định tại khoản 2 Điều này mà không đủ căn cứ xác minh thông tin về văn bằng, cơ quan có thẩm quyền công nhận văn bằng phải trả lời bằng văn bản cho người đề nghị công nhận văn bằng. Trường hợp không xác định được mức độ tương đương của văn bằng với trình độ đào tạo quy định tại Khung trình độ Quốc gia Việt Nam, cơ quan có thẩm quyền công nhận văn bằng cung cấp thông tin và công nhận giá trị của văn bằng theo hệ thống giáo dục của nước nơi cơ sở giáo dục nước ngoài đặt trụ sở chính.</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4. Cơ quan có thẩm quyền công nhận văn bằng lập sổ cấp giấy công nhận văn bằng, trong đó ghi các thông tin về: họ tên, ngày tháng năm sinh của người được công nhận văn bằng; tên cơ sở giáo dục cấp bằng; hình thức đào tạo; trình độ tương đương với Khung trình độ Quốc gia Việt Nam hoặc trình độ theo hệ thống giáo dục của nước nơi cơ sở giáo dục nước ngoài đặt trụ sở chính; số vào sổ cấp giấy công nhận văn bằng.</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10" w:name="dieu_8"/>
      <w:r w:rsidRPr="00014FF0">
        <w:rPr>
          <w:rFonts w:eastAsia="Times New Roman" w:cs="Times New Roman"/>
          <w:b/>
          <w:bCs/>
          <w:sz w:val="20"/>
          <w:szCs w:val="20"/>
        </w:rPr>
        <w:t>Điều 8. Hủy bỏ kết quả công nhận văn bằng</w:t>
      </w:r>
      <w:bookmarkEnd w:id="10"/>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Trường hợp xác minh được văn bằng không hợp pháp hoặc hồ sơ đề nghị công nhận văn bằng không trung thực, kết quả công nhận văn bằng bị hủy bỏ.</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Thủ trưởng cơ quan có thẩm quyền công nhận văn bằng ra quyết định hủy bỏ kết quả công nhận văn bằng và thu hồi giấy công nhận trong đó nêu rõ lý do hủy bỏ, thu hồi.</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3. Quyết định hủy bỏ kết quả công nhận văn bằng và thu hồi giấy công nhận được đăng tải trên cổng thông tin điện tử của cơ quan có thẩm quyền công nhận văn bằng, được gửi đến người có văn bằng bị hủy bỏ kết quả công nhận, cơ quan kiểm tra phát hiện sai phạm (nếu có), cơ quan người có văn bằng bị hủy bỏ kết quả công nhận đang công tác (nếu có) và các cơ quan, tổ chức có liên quan.</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11" w:name="dieu_9"/>
      <w:r w:rsidRPr="00014FF0">
        <w:rPr>
          <w:rFonts w:eastAsia="Times New Roman" w:cs="Times New Roman"/>
          <w:b/>
          <w:bCs/>
          <w:sz w:val="20"/>
          <w:szCs w:val="20"/>
        </w:rPr>
        <w:t>Điều 9. Trách nhiệm của cơ quan có thẩm quyền công nhận văn bằng</w:t>
      </w:r>
      <w:bookmarkEnd w:id="11"/>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1. Cục Quản lý chất lượng</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Chịu trách nhiệm về kết quả công nhận văn bằng và giải quyết khiếu nại, tố cáo (nếu có);</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Công bố, cập nhật trên Cổng dịch vụ công trực tuyến của Bộ Giáo dục và Đào tạo thông tin về các trường hợp được miễn thực hiện thủ tục công nhận văn bằng quy định tại khoản 1 Điều 5 Thông tư này.</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Sở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a) Chịu trách nhiệm về kết quả công nhận văn bằng và giải quyết khiếu nại, tố cáo (nếu có);</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b) Báo cáo Bộ Giáo dục và Đào tạo số lượng các loại văn bằng đã được công nhận trước ngày 25 tháng 12 hằng năm.</w:t>
      </w:r>
    </w:p>
    <w:p w:rsidR="00014FF0" w:rsidRPr="00014FF0" w:rsidRDefault="00014FF0" w:rsidP="00014FF0">
      <w:pPr>
        <w:spacing w:before="100" w:beforeAutospacing="1" w:after="100" w:afterAutospacing="1" w:line="240" w:lineRule="auto"/>
        <w:rPr>
          <w:rFonts w:eastAsia="Times New Roman" w:cs="Times New Roman"/>
          <w:sz w:val="20"/>
          <w:szCs w:val="20"/>
        </w:rPr>
      </w:pPr>
      <w:bookmarkStart w:id="12" w:name="dieu_10"/>
      <w:r w:rsidRPr="00014FF0">
        <w:rPr>
          <w:rFonts w:eastAsia="Times New Roman" w:cs="Times New Roman"/>
          <w:b/>
          <w:bCs/>
          <w:sz w:val="20"/>
          <w:szCs w:val="20"/>
        </w:rPr>
        <w:t>Điều 10. Hiệu lực thi hành</w:t>
      </w:r>
      <w:bookmarkEnd w:id="12"/>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 xml:space="preserve">1. Thông tư này có hiệu lực thi hành kể từ ngày </w:t>
      </w:r>
      <w:r w:rsidRPr="00014FF0">
        <w:rPr>
          <w:rFonts w:eastAsia="Times New Roman" w:cs="Times New Roman"/>
          <w:i/>
          <w:iCs/>
          <w:sz w:val="20"/>
          <w:szCs w:val="20"/>
        </w:rPr>
        <w:t>01</w:t>
      </w:r>
      <w:r w:rsidRPr="00014FF0">
        <w:rPr>
          <w:rFonts w:eastAsia="Times New Roman" w:cs="Times New Roman"/>
          <w:sz w:val="20"/>
          <w:szCs w:val="20"/>
        </w:rPr>
        <w:t xml:space="preserve"> tháng </w:t>
      </w:r>
      <w:r w:rsidRPr="00014FF0">
        <w:rPr>
          <w:rFonts w:eastAsia="Times New Roman" w:cs="Times New Roman"/>
          <w:i/>
          <w:iCs/>
          <w:sz w:val="20"/>
          <w:szCs w:val="20"/>
        </w:rPr>
        <w:t>06</w:t>
      </w:r>
      <w:r w:rsidRPr="00014FF0">
        <w:rPr>
          <w:rFonts w:eastAsia="Times New Roman" w:cs="Times New Roman"/>
          <w:sz w:val="20"/>
          <w:szCs w:val="20"/>
        </w:rPr>
        <w:t xml:space="preserve"> năm 2021. Thông tư này thay thế Quyết định số </w:t>
      </w:r>
      <w:hyperlink r:id="rId6" w:tgtFrame="_blank" w:tooltip="Quyết định 77/2007/QĐ-BGDĐT" w:history="1">
        <w:r w:rsidRPr="00014FF0">
          <w:rPr>
            <w:sz w:val="20"/>
            <w:szCs w:val="20"/>
          </w:rPr>
          <w:t>77/2007/QĐ-BGDĐT</w:t>
        </w:r>
      </w:hyperlink>
      <w:r w:rsidRPr="00014FF0">
        <w:rPr>
          <w:rFonts w:eastAsia="Times New Roman" w:cs="Times New Roman"/>
          <w:sz w:val="20"/>
          <w:szCs w:val="20"/>
        </w:rPr>
        <w:t xml:space="preserve"> ngày 20 tháng 12 năm 2007 của Bộ trưởng Bộ Giáo dục và Đào tạo ban hành Quy định về trình tự thủ tục công nhận văn bằng của người Việt Nam do cơ sở giáo dục nước ngoài cấp; Thông tư số </w:t>
      </w:r>
      <w:hyperlink r:id="rId7" w:tgtFrame="_blank" w:tooltip="Thông tư 26/2013/TT-BGDĐT" w:history="1">
        <w:r w:rsidRPr="00014FF0">
          <w:rPr>
            <w:sz w:val="20"/>
            <w:szCs w:val="20"/>
          </w:rPr>
          <w:t>26/2013/TT-BGDĐT</w:t>
        </w:r>
      </w:hyperlink>
      <w:r w:rsidRPr="00014FF0">
        <w:rPr>
          <w:rFonts w:eastAsia="Times New Roman" w:cs="Times New Roman"/>
          <w:sz w:val="20"/>
          <w:szCs w:val="20"/>
        </w:rPr>
        <w:t xml:space="preserve"> ngày 15 tháng 7 năm 2013 của Bộ trưởng Bộ Giáo dục và Đào tạo sửa đổi, bổ sung một số điều của Quy định về trình tự, thủ tục công nhận văn bằng của người Việt Nam do cơ sở giáo dục nước ngoài cấp ban hành kèm theo Quyết định số </w:t>
      </w:r>
      <w:hyperlink r:id="rId8" w:tgtFrame="_blank" w:tooltip="Quyết định 77/2007/QĐ-BGDĐT" w:history="1">
        <w:r w:rsidRPr="00014FF0">
          <w:rPr>
            <w:sz w:val="20"/>
            <w:szCs w:val="20"/>
          </w:rPr>
          <w:t>77/2007/QĐ-BGDĐT</w:t>
        </w:r>
      </w:hyperlink>
      <w:r w:rsidRPr="00014FF0">
        <w:rPr>
          <w:rFonts w:eastAsia="Times New Roman" w:cs="Times New Roman"/>
          <w:sz w:val="20"/>
          <w:szCs w:val="20"/>
        </w:rPr>
        <w:t xml:space="preserve"> ngày 20 tháng 12 năm 2007 của Bộ trưởng Bộ Giáo dục và Đào tạo và Thông tư số </w:t>
      </w:r>
      <w:hyperlink r:id="rId9" w:tgtFrame="_blank" w:tooltip="Thông tư 17/2017/TT-BGDĐT" w:history="1">
        <w:r w:rsidRPr="00014FF0">
          <w:rPr>
            <w:sz w:val="20"/>
            <w:szCs w:val="20"/>
          </w:rPr>
          <w:t>17/2017/TT-BGDĐT</w:t>
        </w:r>
      </w:hyperlink>
      <w:r w:rsidRPr="00014FF0">
        <w:rPr>
          <w:rFonts w:eastAsia="Times New Roman" w:cs="Times New Roman"/>
          <w:sz w:val="20"/>
          <w:szCs w:val="20"/>
        </w:rPr>
        <w:t xml:space="preserve"> ngày 13 tháng 7 năm 2017 của Bộ trưởng Bộ Giáo dục và Đào tạo về việc sửa đổi cụm từ “Vụ Hợp tác quốc tế” và “Cục Đào tạo với nước ngoài” thành “Cục Hợp tác quốc tế”; cụm từ “Cục Khảo thí và Kiểm định chất lượng giáo dục” thành “Cục Quản lý chất lượng” tại Quyết định số </w:t>
      </w:r>
      <w:hyperlink r:id="rId10" w:tgtFrame="_blank" w:tooltip="Quyết định 77/2007/QĐ-BGDĐT" w:history="1">
        <w:r w:rsidRPr="00014FF0">
          <w:rPr>
            <w:sz w:val="20"/>
            <w:szCs w:val="20"/>
          </w:rPr>
          <w:t>77/2007/QĐ-</w:t>
        </w:r>
        <w:r w:rsidRPr="00014FF0">
          <w:rPr>
            <w:sz w:val="20"/>
            <w:szCs w:val="20"/>
          </w:rPr>
          <w:lastRenderedPageBreak/>
          <w:t>BGDĐT</w:t>
        </w:r>
      </w:hyperlink>
      <w:r w:rsidRPr="00014FF0">
        <w:rPr>
          <w:rFonts w:eastAsia="Times New Roman" w:cs="Times New Roman"/>
          <w:sz w:val="20"/>
          <w:szCs w:val="20"/>
        </w:rPr>
        <w:t xml:space="preserve"> ngày 20 tháng 12 năm 2007 của Bộ trưởng Bộ Giáo dục và Đào tạo ban hành Quy định về trình tự, thủ tục công nhận văn bằng của người Việt Nam do cơ sở giáo dục nước ngoài cấp đã được sửa đổi, bổ sung tại Thông tư số </w:t>
      </w:r>
      <w:hyperlink r:id="rId11" w:tgtFrame="_blank" w:tooltip="Thông tư 26/2013/TT-BGDĐT" w:history="1">
        <w:r w:rsidRPr="00014FF0">
          <w:rPr>
            <w:sz w:val="20"/>
            <w:szCs w:val="20"/>
          </w:rPr>
          <w:t>26/2013/TT-BGDĐT</w:t>
        </w:r>
      </w:hyperlink>
      <w:r w:rsidRPr="00014FF0">
        <w:rPr>
          <w:rFonts w:eastAsia="Times New Roman" w:cs="Times New Roman"/>
          <w:sz w:val="20"/>
          <w:szCs w:val="20"/>
        </w:rPr>
        <w:t xml:space="preserve"> ngày 15 tháng 7 năm 2013 của Bộ trưởng Bộ Giáo dục và Đào tạo.</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2. Chánh Văn phòng, Cục trưởng Cục Quản lý chất lượng, thủ trưởng các đơn vị có liên quan thuộc Bộ Giáo dục và Đào tạo; giám đốc Sở Giáo dục và Đào tạo; giám đốc các đại học, học viện; hiệu trưởng các trường đại học; các tổ chức và cá nhân có liên quan chịu trách nhiệm thi hành Thông tư này./.</w:t>
      </w:r>
    </w:p>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665"/>
        <w:gridCol w:w="4185"/>
      </w:tblGrid>
      <w:tr w:rsidR="00014FF0" w:rsidRPr="00014FF0" w:rsidTr="00014FF0">
        <w:trPr>
          <w:tblCellSpacing w:w="0" w:type="dxa"/>
        </w:trPr>
        <w:tc>
          <w:tcPr>
            <w:tcW w:w="4665" w:type="dxa"/>
            <w:hideMark/>
          </w:tcPr>
          <w:p w:rsidR="00014FF0" w:rsidRPr="00014FF0" w:rsidRDefault="00014FF0" w:rsidP="00014FF0">
            <w:pPr>
              <w:spacing w:before="100" w:beforeAutospacing="1" w:after="100" w:afterAutospacing="1" w:line="240" w:lineRule="auto"/>
              <w:rPr>
                <w:rFonts w:eastAsia="Times New Roman" w:cs="Times New Roman"/>
                <w:sz w:val="20"/>
                <w:szCs w:val="20"/>
              </w:rPr>
            </w:pPr>
            <w:r w:rsidRPr="00014FF0">
              <w:rPr>
                <w:rFonts w:eastAsia="Times New Roman" w:cs="Times New Roman"/>
                <w:b/>
                <w:bCs/>
                <w:i/>
                <w:iCs/>
                <w:sz w:val="20"/>
                <w:szCs w:val="20"/>
              </w:rPr>
              <w:br/>
              <w:t>Nơi nhận:</w:t>
            </w:r>
            <w:r w:rsidRPr="00014FF0">
              <w:rPr>
                <w:rFonts w:eastAsia="Times New Roman" w:cs="Times New Roman"/>
                <w:b/>
                <w:bCs/>
                <w:i/>
                <w:iCs/>
                <w:sz w:val="20"/>
                <w:szCs w:val="20"/>
              </w:rPr>
              <w:br/>
            </w:r>
            <w:r w:rsidRPr="00014FF0">
              <w:rPr>
                <w:rFonts w:eastAsia="Times New Roman" w:cs="Times New Roman"/>
                <w:sz w:val="20"/>
                <w:szCs w:val="20"/>
              </w:rPr>
              <w:t>- Văn phòng Chủ tịch nước;</w:t>
            </w:r>
            <w:r w:rsidRPr="00014FF0">
              <w:rPr>
                <w:rFonts w:eastAsia="Times New Roman" w:cs="Times New Roman"/>
                <w:sz w:val="20"/>
                <w:szCs w:val="20"/>
              </w:rPr>
              <w:br/>
              <w:t>- Văn phòng Chính phủ;</w:t>
            </w:r>
            <w:r w:rsidRPr="00014FF0">
              <w:rPr>
                <w:rFonts w:eastAsia="Times New Roman" w:cs="Times New Roman"/>
                <w:sz w:val="20"/>
                <w:szCs w:val="20"/>
              </w:rPr>
              <w:br/>
              <w:t>- Văn phòng Quốc hội;</w:t>
            </w:r>
            <w:r w:rsidRPr="00014FF0">
              <w:rPr>
                <w:rFonts w:eastAsia="Times New Roman" w:cs="Times New Roman"/>
                <w:sz w:val="20"/>
                <w:szCs w:val="20"/>
              </w:rPr>
              <w:br/>
              <w:t>- Ban Tuyên giáo Trung ương;</w:t>
            </w:r>
            <w:r w:rsidRPr="00014FF0">
              <w:rPr>
                <w:rFonts w:eastAsia="Times New Roman" w:cs="Times New Roman"/>
                <w:sz w:val="20"/>
                <w:szCs w:val="20"/>
              </w:rPr>
              <w:br/>
              <w:t>- UBVHGDTNTNNĐ của Quốc hội;</w:t>
            </w:r>
            <w:r w:rsidRPr="00014FF0">
              <w:rPr>
                <w:rFonts w:eastAsia="Times New Roman" w:cs="Times New Roman"/>
                <w:sz w:val="20"/>
                <w:szCs w:val="20"/>
              </w:rPr>
              <w:br/>
              <w:t>- Hội đồng Quốc gia Giáo dục và Phát triển nhân lực;</w:t>
            </w:r>
            <w:r w:rsidRPr="00014FF0">
              <w:rPr>
                <w:rFonts w:eastAsia="Times New Roman" w:cs="Times New Roman"/>
                <w:sz w:val="20"/>
                <w:szCs w:val="20"/>
              </w:rPr>
              <w:br/>
              <w:t>- Các Bộ, cơ quan ngang Bộ, cơ quan thuộc CP;</w:t>
            </w:r>
            <w:r w:rsidRPr="00014FF0">
              <w:rPr>
                <w:rFonts w:eastAsia="Times New Roman" w:cs="Times New Roman"/>
                <w:sz w:val="20"/>
                <w:szCs w:val="20"/>
              </w:rPr>
              <w:br/>
              <w:t>- Cục Kiểm tra VBQPPL (Bộ Tư pháp);</w:t>
            </w:r>
            <w:r w:rsidRPr="00014FF0">
              <w:rPr>
                <w:rFonts w:eastAsia="Times New Roman" w:cs="Times New Roman"/>
                <w:sz w:val="20"/>
                <w:szCs w:val="20"/>
              </w:rPr>
              <w:br/>
              <w:t>- Kiểm toán Nhà nước;</w:t>
            </w:r>
            <w:r w:rsidRPr="00014FF0">
              <w:rPr>
                <w:rFonts w:eastAsia="Times New Roman" w:cs="Times New Roman"/>
                <w:sz w:val="20"/>
                <w:szCs w:val="20"/>
              </w:rPr>
              <w:br/>
              <w:t>- Bộ trưởng (để b/c);</w:t>
            </w:r>
            <w:r w:rsidRPr="00014FF0">
              <w:rPr>
                <w:rFonts w:eastAsia="Times New Roman" w:cs="Times New Roman"/>
                <w:sz w:val="20"/>
                <w:szCs w:val="20"/>
              </w:rPr>
              <w:br/>
              <w:t>- Như Điều 10;</w:t>
            </w:r>
            <w:r w:rsidRPr="00014FF0">
              <w:rPr>
                <w:rFonts w:eastAsia="Times New Roman" w:cs="Times New Roman"/>
                <w:sz w:val="20"/>
                <w:szCs w:val="20"/>
              </w:rPr>
              <w:br/>
              <w:t>- Công báo;</w:t>
            </w:r>
            <w:r w:rsidRPr="00014FF0">
              <w:rPr>
                <w:rFonts w:eastAsia="Times New Roman" w:cs="Times New Roman"/>
                <w:sz w:val="20"/>
                <w:szCs w:val="20"/>
              </w:rPr>
              <w:br/>
              <w:t>- Cổng TTĐT Bộ GDĐT;</w:t>
            </w:r>
            <w:r w:rsidRPr="00014FF0">
              <w:rPr>
                <w:rFonts w:eastAsia="Times New Roman" w:cs="Times New Roman"/>
                <w:sz w:val="20"/>
                <w:szCs w:val="20"/>
              </w:rPr>
              <w:br/>
              <w:t>- Lưu: VT, Cục QLCL, Vụ PC.</w:t>
            </w:r>
          </w:p>
        </w:tc>
        <w:tc>
          <w:tcPr>
            <w:tcW w:w="4185" w:type="dxa"/>
            <w:hideMark/>
          </w:tcPr>
          <w:p w:rsidR="00014FF0" w:rsidRPr="00014FF0" w:rsidRDefault="00014FF0" w:rsidP="00014FF0">
            <w:pPr>
              <w:spacing w:before="100" w:beforeAutospacing="1" w:after="100" w:afterAutospacing="1" w:line="240" w:lineRule="auto"/>
              <w:jc w:val="center"/>
              <w:rPr>
                <w:rFonts w:eastAsia="Times New Roman" w:cs="Times New Roman"/>
                <w:sz w:val="20"/>
                <w:szCs w:val="20"/>
              </w:rPr>
            </w:pPr>
            <w:r w:rsidRPr="00014FF0">
              <w:rPr>
                <w:rFonts w:eastAsia="Times New Roman" w:cs="Times New Roman"/>
                <w:b/>
                <w:bCs/>
                <w:sz w:val="20"/>
                <w:szCs w:val="20"/>
              </w:rPr>
              <w:t>KT. BỘ TRƯỞNG</w:t>
            </w:r>
            <w:r w:rsidRPr="00014FF0">
              <w:rPr>
                <w:rFonts w:eastAsia="Times New Roman" w:cs="Times New Roman"/>
                <w:b/>
                <w:bCs/>
                <w:sz w:val="20"/>
                <w:szCs w:val="20"/>
              </w:rPr>
              <w:br/>
              <w:t>THỨ TRƯỞNG</w:t>
            </w:r>
            <w:r w:rsidRPr="00014FF0">
              <w:rPr>
                <w:rFonts w:eastAsia="Times New Roman" w:cs="Times New Roman"/>
                <w:b/>
                <w:bCs/>
                <w:sz w:val="20"/>
                <w:szCs w:val="20"/>
              </w:rPr>
              <w:br/>
            </w:r>
            <w:r w:rsidRPr="00014FF0">
              <w:rPr>
                <w:rFonts w:eastAsia="Times New Roman" w:cs="Times New Roman"/>
                <w:b/>
                <w:bCs/>
                <w:sz w:val="20"/>
                <w:szCs w:val="20"/>
              </w:rPr>
              <w:br/>
            </w:r>
            <w:r w:rsidRPr="00014FF0">
              <w:rPr>
                <w:rFonts w:eastAsia="Times New Roman" w:cs="Times New Roman"/>
                <w:b/>
                <w:bCs/>
                <w:sz w:val="20"/>
                <w:szCs w:val="20"/>
              </w:rPr>
              <w:br/>
            </w:r>
            <w:r w:rsidRPr="00014FF0">
              <w:rPr>
                <w:rFonts w:eastAsia="Times New Roman" w:cs="Times New Roman"/>
                <w:b/>
                <w:bCs/>
                <w:sz w:val="20"/>
                <w:szCs w:val="20"/>
              </w:rPr>
              <w:br/>
            </w:r>
            <w:r w:rsidRPr="00014FF0">
              <w:rPr>
                <w:rFonts w:eastAsia="Times New Roman" w:cs="Times New Roman"/>
                <w:b/>
                <w:bCs/>
                <w:sz w:val="20"/>
                <w:szCs w:val="20"/>
              </w:rPr>
              <w:br/>
              <w:t>Hoàng Minh Sơn</w:t>
            </w:r>
          </w:p>
        </w:tc>
      </w:tr>
    </w:tbl>
    <w:p w:rsidR="00B246DA" w:rsidRPr="00014FF0" w:rsidRDefault="00B246DA">
      <w:pPr>
        <w:rPr>
          <w:rFonts w:cs="Times New Roman"/>
          <w:sz w:val="20"/>
          <w:szCs w:val="20"/>
        </w:rPr>
      </w:pPr>
    </w:p>
    <w:sectPr w:rsidR="00B246DA" w:rsidRPr="0001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F0"/>
    <w:rsid w:val="00014FF0"/>
    <w:rsid w:val="00B2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FF0"/>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014FF0"/>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014FF0"/>
  </w:style>
  <w:style w:type="character" w:styleId="Hyperlink">
    <w:name w:val="Hyperlink"/>
    <w:basedOn w:val="DefaultParagraphFont"/>
    <w:uiPriority w:val="99"/>
    <w:semiHidden/>
    <w:unhideWhenUsed/>
    <w:rsid w:val="00014FF0"/>
    <w:rPr>
      <w:color w:val="0000FF"/>
      <w:u w:val="single"/>
    </w:rPr>
  </w:style>
  <w:style w:type="character" w:customStyle="1" w:styleId="vn6">
    <w:name w:val="vn_6"/>
    <w:basedOn w:val="DefaultParagraphFont"/>
    <w:rsid w:val="00014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FF0"/>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014FF0"/>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014FF0"/>
  </w:style>
  <w:style w:type="character" w:styleId="Hyperlink">
    <w:name w:val="Hyperlink"/>
    <w:basedOn w:val="DefaultParagraphFont"/>
    <w:uiPriority w:val="99"/>
    <w:semiHidden/>
    <w:unhideWhenUsed/>
    <w:rsid w:val="00014FF0"/>
    <w:rPr>
      <w:color w:val="0000FF"/>
      <w:u w:val="single"/>
    </w:rPr>
  </w:style>
  <w:style w:type="character" w:customStyle="1" w:styleId="vn6">
    <w:name w:val="vn_6"/>
    <w:basedOn w:val="DefaultParagraphFont"/>
    <w:rsid w:val="0001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77-2007-qd-bgddt-quy-dinh-trinh-tu-thu-tuc-cong-nhan-van-bang-nguoi-viet-nam-co-so-giao-duc-nuoc-ngoai-cap-ecd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thong-tu-26-2013-tt-bgddt-sua-doi-trinh-tu-cong-nhan-van-bang-co-so-giao-duc-nuoc-ngoai-cap-30e4c.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quyet-dinh-77-2007-qd-bgddt-quy-dinh-trinh-tu-thu-tuc-cong-nhan-van-bang-nguoi-viet-nam-co-so-giao-duc-nuoc-ngoai-cap-ecd0.html" TargetMode="External"/><Relationship Id="rId11" Type="http://schemas.openxmlformats.org/officeDocument/2006/relationships/hyperlink" Target="https://thukyluat.vn/vb/thong-tu-26-2013-tt-bgddt-sua-doi-trinh-tu-cong-nhan-van-bang-co-so-giao-duc-nuoc-ngoai-cap-30e4c.html" TargetMode="External"/><Relationship Id="rId5" Type="http://schemas.openxmlformats.org/officeDocument/2006/relationships/hyperlink" Target="https://thukyluat.vn/vb/nghi-dinh-69-2017-nd-cp-chuc-nang-nhiem-vu-quyen-han-co-cau-cua-bo-giao-duc-va-dao-tao-557fe.html" TargetMode="External"/><Relationship Id="rId10" Type="http://schemas.openxmlformats.org/officeDocument/2006/relationships/hyperlink" Target="https://thukyluat.vn/vb/quyet-dinh-77-2007-qd-bgddt-quy-dinh-trinh-tu-thu-tuc-cong-nhan-van-bang-nguoi-viet-nam-co-so-giao-duc-nuoc-ngoai-cap-ecd0.html" TargetMode="External"/><Relationship Id="rId4" Type="http://schemas.openxmlformats.org/officeDocument/2006/relationships/webSettings" Target="webSettings.xml"/><Relationship Id="rId9" Type="http://schemas.openxmlformats.org/officeDocument/2006/relationships/hyperlink" Target="https://thukyluat.vn/vb/thong-tu-17-2017-tt-bgddt-sua-doi-cum-tu-tai-77-2007-qd-bgddt-va-26-2013-tt-bgddt-5711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2021-10-07T01:58:00Z</dcterms:created>
  <dcterms:modified xsi:type="dcterms:W3CDTF">2021-10-07T01:59:00Z</dcterms:modified>
</cp:coreProperties>
</file>