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6320A" w:rsidRPr="0086320A" w:rsidTr="0086320A">
        <w:trPr>
          <w:tblCellSpacing w:w="0" w:type="dxa"/>
        </w:trPr>
        <w:tc>
          <w:tcPr>
            <w:tcW w:w="3348" w:type="dxa"/>
            <w:shd w:val="clear" w:color="auto" w:fill="FFFFFF"/>
            <w:tcMar>
              <w:top w:w="0" w:type="dxa"/>
              <w:left w:w="108" w:type="dxa"/>
              <w:bottom w:w="0" w:type="dxa"/>
              <w:right w:w="108" w:type="dxa"/>
            </w:tcMar>
            <w:hideMark/>
          </w:tcPr>
          <w:p w:rsidR="0086320A" w:rsidRPr="0086320A" w:rsidRDefault="0086320A" w:rsidP="0086320A">
            <w:pPr>
              <w:spacing w:before="120" w:after="0" w:line="234" w:lineRule="atLeast"/>
              <w:ind w:hanging="2"/>
              <w:jc w:val="center"/>
              <w:rPr>
                <w:rFonts w:eastAsia="Times New Roman" w:cs="Times New Roman"/>
                <w:color w:val="000000"/>
                <w:sz w:val="24"/>
                <w:szCs w:val="24"/>
              </w:rPr>
            </w:pPr>
            <w:r w:rsidRPr="0086320A">
              <w:rPr>
                <w:rFonts w:eastAsia="Times New Roman" w:cs="Times New Roman"/>
                <w:b/>
                <w:bCs/>
                <w:color w:val="000000"/>
                <w:sz w:val="24"/>
                <w:szCs w:val="24"/>
                <w:lang w:val="vi-VN"/>
              </w:rPr>
              <w:t>NGÂN HÀNG NHÀ NƯỚC</w:t>
            </w:r>
            <w:r w:rsidRPr="0086320A">
              <w:rPr>
                <w:rFonts w:eastAsia="Times New Roman" w:cs="Times New Roman"/>
                <w:b/>
                <w:bCs/>
                <w:color w:val="000000"/>
                <w:sz w:val="24"/>
                <w:szCs w:val="24"/>
              </w:rPr>
              <w:br/>
            </w:r>
            <w:r w:rsidRPr="0086320A">
              <w:rPr>
                <w:rFonts w:eastAsia="Times New Roman" w:cs="Times New Roman"/>
                <w:b/>
                <w:bCs/>
                <w:color w:val="000000"/>
                <w:sz w:val="24"/>
                <w:szCs w:val="24"/>
                <w:lang w:val="vi-VN"/>
              </w:rPr>
              <w:t>VIỆT NAM</w:t>
            </w:r>
            <w:r w:rsidRPr="0086320A">
              <w:rPr>
                <w:rFonts w:eastAsia="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86320A" w:rsidRPr="0086320A" w:rsidRDefault="0086320A" w:rsidP="0086320A">
            <w:pPr>
              <w:spacing w:before="120" w:after="0" w:line="234" w:lineRule="atLeast"/>
              <w:ind w:hanging="2"/>
              <w:jc w:val="center"/>
              <w:rPr>
                <w:rFonts w:eastAsia="Times New Roman" w:cs="Times New Roman"/>
                <w:color w:val="000000"/>
                <w:sz w:val="24"/>
                <w:szCs w:val="24"/>
              </w:rPr>
            </w:pPr>
            <w:r w:rsidRPr="0086320A">
              <w:rPr>
                <w:rFonts w:eastAsia="Times New Roman" w:cs="Times New Roman"/>
                <w:b/>
                <w:bCs/>
                <w:color w:val="000000"/>
                <w:sz w:val="24"/>
                <w:szCs w:val="24"/>
                <w:lang w:val="vi-VN"/>
              </w:rPr>
              <w:t>CỘNG HÒA XÃ HỘI CHỦ NGHĨA VIỆT NAM</w:t>
            </w:r>
            <w:r w:rsidRPr="0086320A">
              <w:rPr>
                <w:rFonts w:eastAsia="Times New Roman" w:cs="Times New Roman"/>
                <w:b/>
                <w:bCs/>
                <w:color w:val="000000"/>
                <w:sz w:val="24"/>
                <w:szCs w:val="24"/>
                <w:lang w:val="vi-VN"/>
              </w:rPr>
              <w:br/>
              <w:t>Độc lập - Tự do - Hạnh phúc</w:t>
            </w:r>
            <w:r w:rsidRPr="0086320A">
              <w:rPr>
                <w:rFonts w:eastAsia="Times New Roman" w:cs="Times New Roman"/>
                <w:b/>
                <w:bCs/>
                <w:color w:val="000000"/>
                <w:sz w:val="24"/>
                <w:szCs w:val="24"/>
                <w:lang w:val="vi-VN"/>
              </w:rPr>
              <w:br/>
              <w:t>---------------</w:t>
            </w:r>
          </w:p>
        </w:tc>
      </w:tr>
      <w:tr w:rsidR="0086320A" w:rsidRPr="0086320A" w:rsidTr="0086320A">
        <w:trPr>
          <w:tblCellSpacing w:w="0" w:type="dxa"/>
        </w:trPr>
        <w:tc>
          <w:tcPr>
            <w:tcW w:w="3348" w:type="dxa"/>
            <w:shd w:val="clear" w:color="auto" w:fill="FFFFFF"/>
            <w:tcMar>
              <w:top w:w="0" w:type="dxa"/>
              <w:left w:w="108" w:type="dxa"/>
              <w:bottom w:w="0" w:type="dxa"/>
              <w:right w:w="108" w:type="dxa"/>
            </w:tcMar>
            <w:hideMark/>
          </w:tcPr>
          <w:p w:rsidR="0086320A" w:rsidRPr="0086320A" w:rsidRDefault="0086320A" w:rsidP="0086320A">
            <w:pPr>
              <w:spacing w:before="120" w:after="0" w:line="234" w:lineRule="atLeast"/>
              <w:ind w:hanging="2"/>
              <w:jc w:val="center"/>
              <w:rPr>
                <w:rFonts w:eastAsia="Times New Roman" w:cs="Times New Roman"/>
                <w:color w:val="000000"/>
                <w:sz w:val="24"/>
                <w:szCs w:val="24"/>
              </w:rPr>
            </w:pPr>
            <w:r w:rsidRPr="0086320A">
              <w:rPr>
                <w:rFonts w:eastAsia="Times New Roman" w:cs="Times New Roman"/>
                <w:color w:val="000000"/>
                <w:sz w:val="24"/>
                <w:szCs w:val="24"/>
                <w:lang w:val="vi-VN"/>
              </w:rPr>
              <w:t>Số: </w:t>
            </w:r>
            <w:r w:rsidRPr="0086320A">
              <w:rPr>
                <w:rFonts w:eastAsia="Times New Roman" w:cs="Times New Roman"/>
                <w:color w:val="000000"/>
                <w:sz w:val="24"/>
                <w:szCs w:val="24"/>
              </w:rPr>
              <w:t>11</w:t>
            </w:r>
            <w:r w:rsidRPr="0086320A">
              <w:rPr>
                <w:rFonts w:eastAsia="Times New Roman" w:cs="Times New Roman"/>
                <w:color w:val="000000"/>
                <w:sz w:val="24"/>
                <w:szCs w:val="24"/>
                <w:lang w:val="vi-VN"/>
              </w:rPr>
              <w:t>/2021/TT-NHNN</w:t>
            </w:r>
          </w:p>
        </w:tc>
        <w:tc>
          <w:tcPr>
            <w:tcW w:w="5508" w:type="dxa"/>
            <w:shd w:val="clear" w:color="auto" w:fill="FFFFFF"/>
            <w:tcMar>
              <w:top w:w="0" w:type="dxa"/>
              <w:left w:w="108" w:type="dxa"/>
              <w:bottom w:w="0" w:type="dxa"/>
              <w:right w:w="108" w:type="dxa"/>
            </w:tcMar>
            <w:hideMark/>
          </w:tcPr>
          <w:p w:rsidR="0086320A" w:rsidRPr="0086320A" w:rsidRDefault="0086320A" w:rsidP="0086320A">
            <w:pPr>
              <w:spacing w:before="120" w:after="0" w:line="234" w:lineRule="atLeast"/>
              <w:ind w:hanging="2"/>
              <w:jc w:val="right"/>
              <w:rPr>
                <w:rFonts w:eastAsia="Times New Roman" w:cs="Times New Roman"/>
                <w:color w:val="000000"/>
                <w:sz w:val="24"/>
                <w:szCs w:val="24"/>
              </w:rPr>
            </w:pPr>
            <w:r w:rsidRPr="0086320A">
              <w:rPr>
                <w:rFonts w:eastAsia="Times New Roman" w:cs="Times New Roman"/>
                <w:i/>
                <w:iCs/>
                <w:color w:val="000000"/>
                <w:sz w:val="24"/>
                <w:szCs w:val="24"/>
                <w:lang w:val="vi-VN"/>
              </w:rPr>
              <w:t>Hà Nội, ngày </w:t>
            </w:r>
            <w:r w:rsidRPr="0086320A">
              <w:rPr>
                <w:rFonts w:eastAsia="Times New Roman" w:cs="Times New Roman"/>
                <w:i/>
                <w:iCs/>
                <w:color w:val="000000"/>
                <w:sz w:val="24"/>
                <w:szCs w:val="24"/>
              </w:rPr>
              <w:t>30</w:t>
            </w:r>
            <w:r w:rsidRPr="0086320A">
              <w:rPr>
                <w:rFonts w:eastAsia="Times New Roman" w:cs="Times New Roman"/>
                <w:i/>
                <w:iCs/>
                <w:color w:val="000000"/>
                <w:sz w:val="24"/>
                <w:szCs w:val="24"/>
                <w:lang w:val="vi-VN"/>
              </w:rPr>
              <w:t> tháng </w:t>
            </w:r>
            <w:r w:rsidRPr="0086320A">
              <w:rPr>
                <w:rFonts w:eastAsia="Times New Roman" w:cs="Times New Roman"/>
                <w:i/>
                <w:iCs/>
                <w:color w:val="000000"/>
                <w:sz w:val="24"/>
                <w:szCs w:val="24"/>
              </w:rPr>
              <w:t>7</w:t>
            </w:r>
            <w:r w:rsidRPr="0086320A">
              <w:rPr>
                <w:rFonts w:eastAsia="Times New Roman" w:cs="Times New Roman"/>
                <w:i/>
                <w:iCs/>
                <w:color w:val="000000"/>
                <w:sz w:val="24"/>
                <w:szCs w:val="24"/>
                <w:lang w:val="vi-VN"/>
              </w:rPr>
              <w:t> năm 2021</w:t>
            </w:r>
          </w:p>
        </w:tc>
      </w:tr>
    </w:tbl>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rPr>
        <w:t> </w:t>
      </w:r>
    </w:p>
    <w:p w:rsidR="0086320A" w:rsidRPr="0086320A" w:rsidRDefault="0086320A" w:rsidP="0086320A">
      <w:pPr>
        <w:shd w:val="clear" w:color="auto" w:fill="FFFFFF"/>
        <w:spacing w:before="120" w:after="0" w:line="240" w:lineRule="auto"/>
        <w:jc w:val="center"/>
        <w:rPr>
          <w:rFonts w:eastAsia="Times New Roman" w:cs="Times New Roman"/>
          <w:color w:val="000000"/>
          <w:sz w:val="24"/>
          <w:szCs w:val="24"/>
        </w:rPr>
      </w:pPr>
      <w:r w:rsidRPr="0086320A">
        <w:rPr>
          <w:rFonts w:eastAsia="Times New Roman" w:cs="Times New Roman"/>
          <w:b/>
          <w:bCs/>
          <w:color w:val="000000"/>
          <w:sz w:val="24"/>
          <w:szCs w:val="24"/>
          <w:lang w:val="vi-VN"/>
        </w:rPr>
        <w:t>THÔNG TƯ</w:t>
      </w:r>
    </w:p>
    <w:p w:rsidR="0086320A" w:rsidRPr="0086320A" w:rsidRDefault="0086320A" w:rsidP="0086320A">
      <w:pPr>
        <w:shd w:val="clear" w:color="auto" w:fill="FFFFFF"/>
        <w:spacing w:before="120" w:after="0" w:line="240" w:lineRule="auto"/>
        <w:jc w:val="center"/>
        <w:rPr>
          <w:rFonts w:eastAsia="Times New Roman" w:cs="Times New Roman"/>
          <w:color w:val="000000"/>
          <w:sz w:val="24"/>
          <w:szCs w:val="24"/>
        </w:rPr>
      </w:pPr>
      <w:r w:rsidRPr="0086320A">
        <w:rPr>
          <w:rFonts w:eastAsia="Times New Roman" w:cs="Times New Roman"/>
          <w:color w:val="000000"/>
          <w:sz w:val="24"/>
          <w:szCs w:val="24"/>
          <w:lang w:val="vi-VN"/>
        </w:rPr>
        <w:t>QUY ĐỊNH VỀ PHÂN LOẠI TÀI SẢN CÓ, MỨC TRÍCH, PHƯƠNG PHÁP TRÍCH LẬP DỰ PHÒNG RỦI RO VÀ VIỆC SỬ DỤNG DỰ PHÒNG ĐỂ XỬ LÝ RỦI RO TRONG HOẠT ĐỘNG CỦA TỔ CHỨC TÍN DỤNG, CHI NHÁNH NGÂN HÀNG NƯỚC NGOÀI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i/>
          <w:iCs/>
          <w:color w:val="000000"/>
          <w:sz w:val="24"/>
          <w:szCs w:val="24"/>
          <w:lang w:val="vi-VN"/>
        </w:rPr>
        <w:t>Căn cứ Luật Ngân hàng Nhà nước Việt Nam ngày 16 tháng 6 năm 2010;</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i/>
          <w:iCs/>
          <w:color w:val="000000"/>
          <w:sz w:val="24"/>
          <w:szCs w:val="24"/>
          <w:lang w:val="vi-VN"/>
        </w:rPr>
        <w:t>Căn cứ Luật Các tổ chức tín dụng ngày 16 tháng 6 năm 2010; Luật sửa đổi, bổ sung một số điều của Luật Các tổ chức tín dụng ngày 20 tháng 11 năm 2017;</w:t>
      </w:r>
    </w:p>
    <w:p w:rsidR="0086320A" w:rsidRPr="0086320A" w:rsidRDefault="0086320A" w:rsidP="0086320A">
      <w:pPr>
        <w:rPr>
          <w:i/>
          <w:sz w:val="24"/>
          <w:szCs w:val="24"/>
        </w:rPr>
      </w:pPr>
      <w:r w:rsidRPr="0086320A">
        <w:rPr>
          <w:i/>
          <w:sz w:val="24"/>
          <w:szCs w:val="24"/>
          <w:lang w:val="vi-VN"/>
        </w:rPr>
        <w:t>Căn cứ Nghị định số </w:t>
      </w:r>
      <w:hyperlink r:id="rId5" w:tgtFrame="_blank" w:tooltip="Nghị định 16/2017/NĐ-CP" w:history="1">
        <w:r w:rsidRPr="0086320A">
          <w:rPr>
            <w:i/>
            <w:sz w:val="24"/>
            <w:szCs w:val="24"/>
          </w:rPr>
          <w:t>16/2017/NĐ-CP</w:t>
        </w:r>
      </w:hyperlink>
      <w:r w:rsidRPr="0086320A">
        <w:rPr>
          <w:i/>
          <w:sz w:val="24"/>
          <w:szCs w:val="24"/>
          <w:lang w:val="vi-VN"/>
        </w:rPr>
        <w:t> ngày 17 tháng 02 năm 2017 của Chính phủ quy định chức năng, nhiệm vụ, quyền hạn và cơ cấu tổ chức của Ngân hàng Nhà nước Việt Nam;</w:t>
      </w:r>
    </w:p>
    <w:p w:rsidR="0086320A" w:rsidRPr="0086320A" w:rsidRDefault="0086320A" w:rsidP="0086320A">
      <w:pPr>
        <w:shd w:val="clear" w:color="auto" w:fill="FFFFFF"/>
        <w:spacing w:after="0" w:line="240" w:lineRule="auto"/>
        <w:rPr>
          <w:rFonts w:eastAsia="Times New Roman" w:cs="Times New Roman"/>
          <w:color w:val="000000"/>
          <w:sz w:val="24"/>
          <w:szCs w:val="24"/>
        </w:rPr>
      </w:pPr>
      <w:r w:rsidRPr="0086320A">
        <w:rPr>
          <w:rFonts w:eastAsia="Times New Roman" w:cs="Times New Roman"/>
          <w:i/>
          <w:iCs/>
          <w:color w:val="000000"/>
          <w:sz w:val="24"/>
          <w:szCs w:val="24"/>
        </w:rPr>
        <w:t>Căn cứ Nghị định số </w:t>
      </w:r>
      <w:hyperlink r:id="rId6" w:tgtFrame="_blank" w:tooltip="Nghị định 93/2017/NĐ-CP" w:history="1">
        <w:r w:rsidRPr="0086320A">
          <w:rPr>
            <w:sz w:val="24"/>
            <w:szCs w:val="24"/>
          </w:rPr>
          <w:t>93/2017/NĐ-CP</w:t>
        </w:r>
      </w:hyperlink>
      <w:r w:rsidRPr="0086320A">
        <w:rPr>
          <w:rFonts w:eastAsia="Times New Roman" w:cs="Times New Roman"/>
          <w:i/>
          <w:iCs/>
          <w:color w:val="000000"/>
          <w:sz w:val="24"/>
          <w:szCs w:val="24"/>
        </w:rPr>
        <w:t> ngày 07 tháng 8 năm 2017 của Chính phủ về chế độ tài chính đối với tổ chức tín dụng, chi nhánh ngân hàng nước ngoài và giám sát tài chính, đánh giá hiệu quả đầu tư vốn nhà nước tại tổ chức tín dụng do Nhà nước nắm giữ 100% vốn điều lệ và tổ chức tín dụng có vốn nhà nước;</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i/>
          <w:iCs/>
          <w:color w:val="000000"/>
          <w:sz w:val="24"/>
          <w:szCs w:val="24"/>
          <w:lang w:val="vi-VN"/>
        </w:rPr>
        <w:t>Sau khi thống nhất với Bộ Tài chính;</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i/>
          <w:iCs/>
          <w:color w:val="000000"/>
          <w:sz w:val="24"/>
          <w:szCs w:val="24"/>
          <w:lang w:val="vi-VN"/>
        </w:rPr>
        <w:t>Theo đề nghị của Chánh Thanh tra, giám sát ngân hàng;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i/>
          <w:iCs/>
          <w:color w:val="000000"/>
          <w:sz w:val="24"/>
          <w:szCs w:val="24"/>
          <w:lang w:val="vi-VN"/>
        </w:rPr>
        <w:t>Thống đốc Ngân hàng Nhà nước </w:t>
      </w:r>
      <w:r w:rsidRPr="0086320A">
        <w:rPr>
          <w:rFonts w:eastAsia="Times New Roman" w:cs="Times New Roman"/>
          <w:i/>
          <w:iCs/>
          <w:color w:val="000000"/>
          <w:sz w:val="24"/>
          <w:szCs w:val="24"/>
        </w:rPr>
        <w:t>Việt Nam </w:t>
      </w:r>
      <w:r w:rsidRPr="0086320A">
        <w:rPr>
          <w:rFonts w:eastAsia="Times New Roman" w:cs="Times New Roman"/>
          <w:i/>
          <w:iCs/>
          <w:color w:val="000000"/>
          <w:sz w:val="24"/>
          <w:szCs w:val="24"/>
          <w:lang w:val="vi-VN"/>
        </w:rPr>
        <w:t>ban hành Thông tư quy định về phân loại tài sản có, mức trích, phương pháp trích lập dự phòng rủi ro và việc sử dụng dự phòng để xử lý rủi ro trong hoạt động </w:t>
      </w:r>
      <w:r w:rsidRPr="0086320A">
        <w:rPr>
          <w:rFonts w:eastAsia="Times New Roman" w:cs="Times New Roman"/>
          <w:i/>
          <w:iCs/>
          <w:color w:val="000000"/>
          <w:sz w:val="24"/>
          <w:szCs w:val="24"/>
        </w:rPr>
        <w:t>của</w:t>
      </w:r>
      <w:r w:rsidRPr="0086320A">
        <w:rPr>
          <w:rFonts w:eastAsia="Times New Roman" w:cs="Times New Roman"/>
          <w:i/>
          <w:iCs/>
          <w:color w:val="000000"/>
          <w:sz w:val="24"/>
          <w:szCs w:val="24"/>
          <w:lang w:val="vi-VN"/>
        </w:rPr>
        <w:t> tổ chức tín dụng, chi nhánh ngân hàng nước ngoài</w:t>
      </w:r>
      <w:r w:rsidRPr="0086320A">
        <w:rPr>
          <w:rFonts w:eastAsia="Times New Roman" w:cs="Times New Roman"/>
          <w:i/>
          <w:iCs/>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Chương I</w:t>
      </w:r>
    </w:p>
    <w:p w:rsidR="0086320A" w:rsidRPr="0086320A" w:rsidRDefault="0086320A" w:rsidP="0086320A">
      <w:pPr>
        <w:shd w:val="clear" w:color="auto" w:fill="FFFFFF"/>
        <w:spacing w:before="120" w:after="0" w:line="240" w:lineRule="auto"/>
        <w:jc w:val="center"/>
        <w:rPr>
          <w:rFonts w:eastAsia="Times New Roman" w:cs="Times New Roman"/>
          <w:color w:val="000000"/>
          <w:sz w:val="24"/>
          <w:szCs w:val="24"/>
        </w:rPr>
      </w:pPr>
      <w:r w:rsidRPr="0086320A">
        <w:rPr>
          <w:rFonts w:eastAsia="Times New Roman" w:cs="Times New Roman"/>
          <w:b/>
          <w:bCs/>
          <w:color w:val="000000"/>
          <w:sz w:val="24"/>
          <w:szCs w:val="24"/>
          <w:lang w:val="vi-VN"/>
        </w:rPr>
        <w:t>QUY ĐỊNH CHUNG</w:t>
      </w:r>
    </w:p>
    <w:p w:rsidR="0086320A" w:rsidRPr="0086320A" w:rsidRDefault="0086320A" w:rsidP="0086320A">
      <w:pPr>
        <w:shd w:val="clear" w:color="auto" w:fill="FFFFFF"/>
        <w:spacing w:after="0" w:line="240" w:lineRule="auto"/>
        <w:rPr>
          <w:rFonts w:eastAsia="Times New Roman" w:cs="Times New Roman"/>
          <w:color w:val="000000"/>
          <w:sz w:val="24"/>
          <w:szCs w:val="24"/>
        </w:rPr>
      </w:pPr>
      <w:bookmarkStart w:id="0" w:name="dieu_1"/>
      <w:r w:rsidRPr="0086320A">
        <w:rPr>
          <w:rFonts w:eastAsia="Times New Roman" w:cs="Times New Roman"/>
          <w:b/>
          <w:bCs/>
          <w:color w:val="000000"/>
          <w:sz w:val="24"/>
          <w:szCs w:val="24"/>
          <w:lang w:val="vi-VN"/>
        </w:rPr>
        <w:t>Điều 1. Phạm vi điều chỉnh</w:t>
      </w:r>
      <w:bookmarkEnd w:id="0"/>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1. Thông tư này quy định về việc phân loại, mức trích, phương pháp trích lập dự phòng rủi ro và việc sử dụng dự phòng để xử lý rủi ro tín dụng trong hoạt động ngân hàng đối với các tài sản có (sau đây gọi tắt là nợ) phát sinh từ các hoạt động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Cho vay;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Cho thuê tài chính;</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 Chiết khấu, tái chiết khấu công cụ chuyển nhượng và giấy tờ có giá khác;</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d) Bao thanh toán;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đ) Cấp tín dụng dưới hình thức phát hành thẻ tín dụng;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e) Trả thay theo cam kết ngoại bảng;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 xml:space="preserve">g) Mua và ủy thác mua trái phiếu doanh nghiệp (bao gồm cả trái phiếu do tổ chức tín dụng khác phát hành) chưa niêm yết trên thị trường chứng khoán hoặc chưa đăng ký giao dịch trên hệ thống </w:t>
      </w:r>
      <w:r w:rsidRPr="0086320A">
        <w:rPr>
          <w:rFonts w:eastAsia="Times New Roman" w:cs="Times New Roman"/>
          <w:color w:val="000000"/>
          <w:sz w:val="24"/>
          <w:szCs w:val="24"/>
          <w:lang w:val="vi-VN"/>
        </w:rPr>
        <w:lastRenderedPageBreak/>
        <w:t>giao dịch Upcom (sau đây gọi tắt là trái phiếu chưa niêm yết), không bao gồm mua trái phiếu chưa niêm yết bằng nguồn vốn ủy thác mà bên ủy thác chịu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h) Ủy thác cấp tín dụng;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 Gửi tiền (trừ tiền gửi thanh toán, tiền gửi tại ngân hàng chính sách xã hội theo quy định của Ngân hàng Nhà nước </w:t>
      </w:r>
      <w:r w:rsidRPr="0086320A">
        <w:rPr>
          <w:rFonts w:eastAsia="Times New Roman" w:cs="Times New Roman"/>
          <w:color w:val="000000"/>
          <w:sz w:val="24"/>
          <w:szCs w:val="24"/>
        </w:rPr>
        <w:t>Việt Nam (sau đây gọi tắt là Ngân hàng Nhà nước) </w:t>
      </w:r>
      <w:r w:rsidRPr="0086320A">
        <w:rPr>
          <w:rFonts w:eastAsia="Times New Roman" w:cs="Times New Roman"/>
          <w:color w:val="000000"/>
          <w:sz w:val="24"/>
          <w:szCs w:val="24"/>
          <w:lang w:val="vi-VN"/>
        </w:rPr>
        <w:t>về việc các tổ chức tín dụng nhà nước duy trì số dư tiền gửi tại ngân hàng chính sách xã hội) tại tổ chức tín dụng, chi nhánh ngân hàng nước ngoài theo quy định của pháp luật và gửi tiền tại tổ chức tín dụng ở nước ngoài;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k) Mua</w:t>
      </w:r>
      <w:r w:rsidRPr="0086320A">
        <w:rPr>
          <w:rFonts w:eastAsia="Times New Roman" w:cs="Times New Roman"/>
          <w:color w:val="000000"/>
          <w:sz w:val="24"/>
          <w:szCs w:val="24"/>
        </w:rPr>
        <w:t>,</w:t>
      </w:r>
      <w:r w:rsidRPr="0086320A">
        <w:rPr>
          <w:rFonts w:eastAsia="Times New Roman" w:cs="Times New Roman"/>
          <w:color w:val="000000"/>
          <w:sz w:val="24"/>
          <w:szCs w:val="24"/>
          <w:lang w:val="vi-VN"/>
        </w:rPr>
        <w:t> bán nợ theo quy định của Ngân hàng Nhà nước về hoạt động mua, bán nợ;</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l) Mua bán lại trái phiếu Chính phủ trên thị trường chứng khoán theo quy định của pháp luật về phát hành, đăng ký, lưu ký, niêm yết và giao dịch công cụ nợ của Chính phủ trên thị trường chứng khoán;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m) Mua kỳ phiếu, tín phiếu, chứng chỉ tiền gửi do tổ chức tín dụng, chi nhánh ngân hàng nước ngoài khác phát hành.</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2. Các khoản bảo lãnh, chấp nhận thanh toán, cam kết cho vay không hủy ngang và các cam kết khác phát sinh rủi ro tín dụng (sau đây gọi chung là cam kết ngoại bảng) phải được phân loại theo quy định tại Thông tư này để quản lý, giám sát chất lượng hoạt động cấp tín dụng của tổ chức tín dụng, chi nhánh ngân hàng nước ngoài.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3. Việc trích lập và sử dụng dự phòng giảm giá hàng tồn kho, dự phòng tổn thất các khoản đầu tư tài chính, dự phòng tổn thất các khoản nợ phải thu khó đòi, trừ các khoản quy định tại khoản 1 Điều này thực hiện theo quy định của pháp luật về việc trích lập và xử lý các khoản dự phòng giảm giá hàng tồn kho, tổn thất các khoản đầu tư, nợ phải thu khó đòi và bảo hành sản phẩm, hàng hóa, dịch vụ, công trình xây dựng tại doanh nghiệp.</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4. Việc trích lập và sử dụng dự phòng rủi ro đối với trái phiếu đặc biệt do Công ty quản lý tài sản của các tổ chức tín dụng Việt Nam phát hành để mua nợ xấu của tổ chức tín dụng thực hiện theo quy định của Thống đốc Ngân hàng Nhà nước về việc mua, bán và xử lý nợ xấu của Công ty quản lý tài sản của các tổ chức tín dụng Việt Nam.</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5. Các khoản nợ mà Chính phủ, Thủ tướng Chính phủ có quy định cụ thể về phân loại nợ, trích lập dự phòng rủi ro, xử lý rủi ro khác với quy định tại Thông tư này thì tổ chức tín dụng, chi nhánh ngân hàng nước ngoài thực hiện theo quy định đó của Chính phủ, Thủ tướng Chính phủ.</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Điều 2. Đối tượng áp dụng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1. Thông tư này áp dụng đối với: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Tổ chức tín dụng, bao gồm: ngân hàng thương mại và tổ chức tín dụng phi ngân hàng, trừ tổ chức tín dụng </w:t>
      </w:r>
      <w:r w:rsidRPr="0086320A">
        <w:rPr>
          <w:rFonts w:eastAsia="Times New Roman" w:cs="Times New Roman"/>
          <w:color w:val="000000"/>
          <w:sz w:val="24"/>
          <w:szCs w:val="24"/>
        </w:rPr>
        <w:t>đang </w:t>
      </w:r>
      <w:r w:rsidRPr="0086320A">
        <w:rPr>
          <w:rFonts w:eastAsia="Times New Roman" w:cs="Times New Roman"/>
          <w:color w:val="000000"/>
          <w:sz w:val="24"/>
          <w:szCs w:val="24"/>
          <w:lang w:val="vi-VN"/>
        </w:rPr>
        <w:t>được kiểm soát đặc biệt</w:t>
      </w:r>
      <w:r w:rsidRPr="0086320A">
        <w:rPr>
          <w:rFonts w:eastAsia="Times New Roman" w:cs="Times New Roman"/>
          <w:color w:val="000000"/>
          <w:sz w:val="24"/>
          <w:szCs w:val="24"/>
        </w:rPr>
        <w:t> thực hiện theo quy định của pháp luật về kiểm soát đặc biệt tổ chức tín dụng;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Chi nhánh ngân hàng nước ngoài.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2. Chi nhánh ngân hàng nước ngoài áp dụng chính sách dự phòng rủi ro của ngân hàng nước ngoài để phân loại nợ, cam kết ngoại bảng, trích lập và sử dụng dự phòng rủi ro phải được Ngân hàng Nhà nước chấp thuận với điều kiện chính sách dự phòng rủi ro của ngân hàng nước ngoài tiên tiến và ưu việt hơn so với quy định tại Điều </w:t>
      </w:r>
      <w:r w:rsidRPr="0086320A">
        <w:rPr>
          <w:rFonts w:eastAsia="Times New Roman" w:cs="Times New Roman"/>
          <w:color w:val="000000"/>
          <w:sz w:val="24"/>
          <w:szCs w:val="24"/>
        </w:rPr>
        <w:t>10</w:t>
      </w:r>
      <w:r w:rsidRPr="0086320A">
        <w:rPr>
          <w:rFonts w:eastAsia="Times New Roman" w:cs="Times New Roman"/>
          <w:color w:val="000000"/>
          <w:sz w:val="24"/>
          <w:szCs w:val="24"/>
          <w:lang w:val="vi-VN"/>
        </w:rPr>
        <w:t xml:space="preserve"> Thông tư này. Hồ sơ, trình tự, thủ tục để </w:t>
      </w:r>
      <w:r w:rsidRPr="0086320A">
        <w:rPr>
          <w:rFonts w:eastAsia="Times New Roman" w:cs="Times New Roman"/>
          <w:color w:val="000000"/>
          <w:sz w:val="24"/>
          <w:szCs w:val="24"/>
          <w:lang w:val="vi-VN"/>
        </w:rPr>
        <w:lastRenderedPageBreak/>
        <w:t>được Ngân hàng Nhà nước chấp thuận áp dụng chính sách dự phòng rủi ro của ngân hàng nước ngoài theo quy định tại khoản 3, khoản 4 Điều 11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3. Chi nhánh ngân hàng nước ngoài đã được Ngân hàng Nhà nước chấp thuận áp dụng chính sách dự phòng rủi ro của ngân hàng nước ngoài trước ngày Thông tư này có hiệu lực thi hành, chi nhánh ngân hàng nước ngoài được Ngân hàng Nhà nước chấp thuận áp dụng chính sách dự phòng rủi ro của ngân hàng nước ngoài theo khoản 2 Điều này thực hiện theo quy định của ngân hàng nước ngoài. Trong quá trình thanh tra, giám sát, nếu Ngân hàng Nhà nước đánh giá chính sách dự phòng </w:t>
      </w:r>
      <w:r w:rsidRPr="0086320A">
        <w:rPr>
          <w:rFonts w:eastAsia="Times New Roman" w:cs="Times New Roman"/>
          <w:color w:val="000000"/>
          <w:sz w:val="24"/>
          <w:szCs w:val="24"/>
        </w:rPr>
        <w:t>rủi ro </w:t>
      </w:r>
      <w:r w:rsidRPr="0086320A">
        <w:rPr>
          <w:rFonts w:eastAsia="Times New Roman" w:cs="Times New Roman"/>
          <w:color w:val="000000"/>
          <w:sz w:val="24"/>
          <w:szCs w:val="24"/>
          <w:lang w:val="vi-VN"/>
        </w:rPr>
        <w:t>của ngân hàng nước ngoài không phản ánh được đầy đủ mức độ rủi ro tín dụng trong hoạt động ngân hàng thực tế tại Việt Nam, Ngân hàng Nhà nước có thể yêu cầu chi nhánh ngân hàng nước ngoài thực hiện phân loại nợ, cam kết ngoại bảng, trích lập và sử dụng dự phòng rủi ro theo quy định tại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Điều 3. Giải thích từ ngữ</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Trong Thông tư này, những từ ngữ dưới đây được hiểu như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1. Rủi ro tín dụng trong hoạt động ngân hàng (sau đây gọi tắt là rủi ro) là khả năng xảy ra tổn thất đối với nợ của tổ chức tín dụng, chi nhánh ngân hàng nước ngoài do khách hàng không có khả năng trả được một phần hoặc toàn bộ nợ của mình theo </w:t>
      </w:r>
      <w:r w:rsidRPr="0086320A">
        <w:rPr>
          <w:rFonts w:eastAsia="Times New Roman" w:cs="Times New Roman"/>
          <w:color w:val="000000"/>
          <w:sz w:val="24"/>
          <w:szCs w:val="24"/>
        </w:rPr>
        <w:t>hợp đồng hoặc thỏa thuận (sau đây gọi chung là </w:t>
      </w:r>
      <w:r w:rsidRPr="0086320A">
        <w:rPr>
          <w:rFonts w:eastAsia="Times New Roman" w:cs="Times New Roman"/>
          <w:color w:val="000000"/>
          <w:sz w:val="24"/>
          <w:szCs w:val="24"/>
          <w:lang w:val="vi-VN"/>
        </w:rPr>
        <w:t>thỏa thuận</w:t>
      </w:r>
      <w:r w:rsidRPr="0086320A">
        <w:rPr>
          <w:rFonts w:eastAsia="Times New Roman" w:cs="Times New Roman"/>
          <w:color w:val="000000"/>
          <w:sz w:val="24"/>
          <w:szCs w:val="24"/>
        </w:rPr>
        <w:t>)</w:t>
      </w:r>
      <w:r w:rsidRPr="0086320A">
        <w:rPr>
          <w:rFonts w:eastAsia="Times New Roman" w:cs="Times New Roman"/>
          <w:color w:val="000000"/>
          <w:sz w:val="24"/>
          <w:szCs w:val="24"/>
          <w:lang w:val="vi-VN"/>
        </w:rPr>
        <w:t> với tổ chức tín dụng, chi nhánh ngân hàng nước ngoài.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2. Khoản nợ là số tiền tổ chức tín dụng, chi nhánh ngân hàng nước ngoài đã gửi, thanh toán</w:t>
      </w:r>
      <w:r w:rsidRPr="0086320A">
        <w:rPr>
          <w:rFonts w:eastAsia="Times New Roman" w:cs="Times New Roman"/>
          <w:color w:val="000000"/>
          <w:sz w:val="24"/>
          <w:szCs w:val="24"/>
        </w:rPr>
        <w:t>, </w:t>
      </w:r>
      <w:r w:rsidRPr="0086320A">
        <w:rPr>
          <w:rFonts w:eastAsia="Times New Roman" w:cs="Times New Roman"/>
          <w:color w:val="000000"/>
          <w:sz w:val="24"/>
          <w:szCs w:val="24"/>
          <w:lang w:val="vi-VN"/>
        </w:rPr>
        <w:t>giải ngân</w:t>
      </w:r>
      <w:r w:rsidRPr="0086320A">
        <w:rPr>
          <w:rFonts w:eastAsia="Times New Roman" w:cs="Times New Roman"/>
          <w:color w:val="000000"/>
          <w:sz w:val="24"/>
          <w:szCs w:val="24"/>
        </w:rPr>
        <w:t> t</w:t>
      </w:r>
      <w:r w:rsidRPr="0086320A">
        <w:rPr>
          <w:rFonts w:eastAsia="Times New Roman" w:cs="Times New Roman"/>
          <w:color w:val="000000"/>
          <w:sz w:val="24"/>
          <w:szCs w:val="24"/>
          <w:lang w:val="vi-VN"/>
        </w:rPr>
        <w:t>ừng lần</w:t>
      </w:r>
      <w:r w:rsidRPr="0086320A">
        <w:rPr>
          <w:rFonts w:eastAsia="Times New Roman" w:cs="Times New Roman"/>
          <w:color w:val="000000"/>
          <w:sz w:val="24"/>
          <w:szCs w:val="24"/>
        </w:rPr>
        <w:t> (đối với trường hợp mỗi lần giải ngân có một thời hạn, kỳ hạn trả nợ khác nhau) hoặc số tiền tổ chức tín dụng, chi nhánh ngân hàng nước ngoài đã giải ngân theo hợp đồng (đối với trường hợp nhiều lần giải ngân nhưng có cùng thời hạn, kỳ hạn trả nợ) đối</w:t>
      </w:r>
      <w:r w:rsidRPr="0086320A">
        <w:rPr>
          <w:rFonts w:eastAsia="Times New Roman" w:cs="Times New Roman"/>
          <w:color w:val="000000"/>
          <w:sz w:val="24"/>
          <w:szCs w:val="24"/>
          <w:lang w:val="vi-VN"/>
        </w:rPr>
        <w:t> với nợ mà khách hàng chưa hoàn trả</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3. Dự phòng rủi ro là số tiền được trích lập và hạch toán vào chi phí hoạt động để dự phòng cho những rủi ro có thể xảy ra đối với nợ của tổ chức tín dụng, chi nhánh ngân hàng nước ngoài. Dự phòng rủi ro gồm dự phòng cụ thể và dự phòng chung.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4. Dự phòng cụ thể là số tiền được trích lập để dự phòng cho những rủi ro có thể xảy ra đối với từng khoản nợ cụ thể.</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5. Dự phòng chung là số tiền được trích lập để dự phòng cho những rủi ro có thể xảy ra nhưng chưa xác định được khi trích lập dự phòng cụ thể.</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6. Khoản nợ quá hạn là khoản nợ mà khách hàng không trả được đúng hạn một phần hoặc toàn bộ nợ gốc và/hoặc lãi theo thỏa thuận với tổ chức tín dụng, chi nhánh ngân hàng nước ngoài. Đối với khoản cấp tín dụng dưới hình thức phát hành thẻ tín dụng, khoản nợ quá hạn là khoản nợ mà khách hàng sử dụng thẻ không trả được </w:t>
      </w:r>
      <w:r w:rsidRPr="0086320A">
        <w:rPr>
          <w:rFonts w:eastAsia="Times New Roman" w:cs="Times New Roman"/>
          <w:color w:val="000000"/>
          <w:sz w:val="24"/>
          <w:szCs w:val="24"/>
        </w:rPr>
        <w:t>n</w:t>
      </w:r>
      <w:r w:rsidRPr="0086320A">
        <w:rPr>
          <w:rFonts w:eastAsia="Times New Roman" w:cs="Times New Roman"/>
          <w:color w:val="000000"/>
          <w:sz w:val="24"/>
          <w:szCs w:val="24"/>
          <w:lang w:val="vi-VN"/>
        </w:rPr>
        <w:t>ghĩa vụ trả nợ đến hạn thanh toán của mình theo </w:t>
      </w:r>
      <w:r w:rsidRPr="0086320A">
        <w:rPr>
          <w:rFonts w:eastAsia="Times New Roman" w:cs="Times New Roman"/>
          <w:color w:val="000000"/>
          <w:sz w:val="24"/>
          <w:szCs w:val="24"/>
        </w:rPr>
        <w:t>t</w:t>
      </w:r>
      <w:r w:rsidRPr="0086320A">
        <w:rPr>
          <w:rFonts w:eastAsia="Times New Roman" w:cs="Times New Roman"/>
          <w:color w:val="000000"/>
          <w:sz w:val="24"/>
          <w:szCs w:val="24"/>
          <w:lang w:val="vi-VN"/>
        </w:rPr>
        <w:t>hỏa thuận phát hành, sử dụng, thanh toán thẻ tín dụng với tổ chức tín dụng, chi nhánh ngân hàng nước ngoài.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7. Nợ cơ cấu lại thời hạn trả nợ là nợ được cơ cấu lại thời hạn trả nợ theo quy định của Ngân hàng Nhà nước</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8. Nợ xấu (NPL) là nợ xấu nội bảng, gồm nợ thuộc các nhóm 3, 4 và 5</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9. Tỷ lệ nợ xấu là tỷ lệ giữa nợ xấu so với tổng các khoản nợ từ nhóm 1 đến nhóm 5.</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10. Tỷ lệ cấp tín dụng xấu là tỷ lệ giữa tổng của nợ xấu và cam kết ngoại bảng từ nhóm 3 đến nhóm 5 so với tổng các khoản nợ và cam kết ngoại bảng từ nhóm 1 đến nhóm 5.</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lastRenderedPageBreak/>
        <w:t>11. Khách hàng là tổ chức (bao gồm cả tổ chức tín dụng, chi nhánh ngân hàng nước ngoài), cá nhân, các chủ thể khác theo quy định của pháp luật dân sự có nghĩa vụ hoặc có thể phát sinh nghĩa vụ trả nợ, thanh toán cho tổ chức tín dụng, chi nhánh ngân hàng nước ngoài theo thỏa thuận.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12. Sử dụng dự phòng </w:t>
      </w:r>
      <w:r w:rsidRPr="0086320A">
        <w:rPr>
          <w:rFonts w:eastAsia="Times New Roman" w:cs="Times New Roman"/>
          <w:color w:val="000000"/>
          <w:sz w:val="24"/>
          <w:szCs w:val="24"/>
        </w:rPr>
        <w:t>rủi ro bao gồm sử dụng dự phòng đ</w:t>
      </w:r>
      <w:r w:rsidRPr="0086320A">
        <w:rPr>
          <w:rFonts w:eastAsia="Times New Roman" w:cs="Times New Roman"/>
          <w:color w:val="000000"/>
          <w:sz w:val="24"/>
          <w:szCs w:val="24"/>
          <w:lang w:val="vi-VN"/>
        </w:rPr>
        <w:t>ể xử lý rủi ro</w:t>
      </w:r>
      <w:r w:rsidRPr="0086320A">
        <w:rPr>
          <w:rFonts w:eastAsia="Times New Roman" w:cs="Times New Roman"/>
          <w:color w:val="000000"/>
          <w:sz w:val="24"/>
          <w:szCs w:val="24"/>
        </w:rPr>
        <w:t> và sử dụng dự phòng để xử lý tổn thất về tài sản đối với khoản nợ, cụ thể:</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rPr>
        <w:t>a) Sử dụng dự phòng đ</w:t>
      </w:r>
      <w:r w:rsidRPr="0086320A">
        <w:rPr>
          <w:rFonts w:eastAsia="Times New Roman" w:cs="Times New Roman"/>
          <w:color w:val="000000"/>
          <w:sz w:val="24"/>
          <w:szCs w:val="24"/>
          <w:lang w:val="vi-VN"/>
        </w:rPr>
        <w:t>ể xử lý rủi ro là việc tổ chức tín dụng, chi nhánh ngân hàng nước ngoài chuyển khoản nợ được xử lý rủi ro ra hạch toán trên các tài khoản ngoại bảng và tiếp tục theo dõi, có biện pháp để thu hồi nợ đầy đủ theo thỏa thuận đã ký với khách hàng</w:t>
      </w:r>
      <w:r w:rsidRPr="0086320A">
        <w:rPr>
          <w:rFonts w:eastAsia="Times New Roman" w:cs="Times New Roman"/>
          <w:color w:val="000000"/>
          <w:sz w:val="24"/>
          <w:szCs w:val="24"/>
        </w:rPr>
        <w:t> quy định tại Điều 16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rPr>
        <w:t>b) Sử dụng dự phòng để xử lý tổn thất về tài sản đối với khoản nợ quy định tại Điều 18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Điều 4. Thu thập số liệu, thông tin khách hàng và công nghệ thông tin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1. Tổ chức tín dụng, chi nhánh ngân hàng nước ngoài có biện pháp và thường xuyên thực hiện việc thu thập, khai thác thông tin, số liệu về khách hàng, bao gồm cả thông tin từ Trung tâm Thông tin tín dụng quốc gia Việt Nam (CIC), công ty thông tin tín dụng theo quy định của pháp luật để:</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Xây dựng, sửa đổi, bổ sung hệ thống xếp hạng tín dụng nội bộ, quy định nội bộ về cấp tín dụng, quản lý </w:t>
      </w:r>
      <w:r w:rsidRPr="0086320A">
        <w:rPr>
          <w:rFonts w:eastAsia="Times New Roman" w:cs="Times New Roman"/>
          <w:color w:val="000000"/>
          <w:sz w:val="24"/>
          <w:szCs w:val="24"/>
        </w:rPr>
        <w:t>nợ</w:t>
      </w:r>
      <w:r w:rsidRPr="0086320A">
        <w:rPr>
          <w:rFonts w:eastAsia="Times New Roman" w:cs="Times New Roman"/>
          <w:color w:val="000000"/>
          <w:sz w:val="24"/>
          <w:szCs w:val="24"/>
          <w:lang w:val="vi-VN"/>
        </w:rPr>
        <w:t>, chính sách dự phòng rủi ro</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Theo dõi, đánh giá tình hình tài chính, khả năng trả nợ của khách hàng sau khi đã xếp hạng theo hệ thống xếp hạng tín dụng nội bộ, có biện pháp quản lý rủi ro, quản lý chất lượng tín dụng phù hợp</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 Thực hiện tự phân loại nợ, cam kết ngoại bảng, trích lập dự phòng rủi ro và sử dụng dự phòng</w:t>
      </w:r>
      <w:r w:rsidRPr="0086320A">
        <w:rPr>
          <w:rFonts w:eastAsia="Times New Roman" w:cs="Times New Roman"/>
          <w:color w:val="000000"/>
          <w:sz w:val="24"/>
          <w:szCs w:val="24"/>
        </w:rPr>
        <w:t> rủi ro</w:t>
      </w:r>
      <w:r w:rsidRPr="0086320A">
        <w:rPr>
          <w:rFonts w:eastAsia="Times New Roman" w:cs="Times New Roman"/>
          <w:color w:val="000000"/>
          <w:sz w:val="24"/>
          <w:szCs w:val="24"/>
          <w:lang w:val="vi-VN"/>
        </w:rPr>
        <w:t> theo quy định tại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2. Tổ chức tín dụng, chi nhánh ngân hàng nước ngoài phải xây dựng hệ thống công nghệ thông tin trong toàn hệ thống đáp ứng yêu cầu quản lý số liệu, thông tin khách hàng, vận hành và quản lý hệ thống xếp hạng tín dụng nội bộ, quản trị rủi ro, thực hiện phân loại nợ, cam kết ngoại bảng, trích lập và sử dụng dự phòng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Điều 5. Hệ thống xếp hạng tín dụng nội bộ</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1. Hệ thống xếp hạng tín dụng nội bộ là hệ thống gồm:</w:t>
      </w:r>
      <w:r w:rsidRPr="0086320A">
        <w:rPr>
          <w:rFonts w:eastAsia="Times New Roman" w:cs="Times New Roman"/>
          <w:color w:val="FF0000"/>
          <w:sz w:val="24"/>
          <w:szCs w:val="24"/>
          <w:lang w:val="vi-VN"/>
        </w:rPr>
        <w:t> </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Các bộ chỉ tiêu tài chính và phi tài chính, các quy trình đánh giá khả năng trả nợ, thanh toán của khách hàng trên cơ sở định tính và định lượng về mặt tài chính, tình hình kinh doanh, quản trị, uy tín của khách hàng</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Phương pháp đánh giá xếp hạng cho từng nhóm đối tượng khách hàng khác nhau, kể cả các đối tượng bị hạn chế cấp tín dụng và những người có liên quan của đối tượng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2. Hệ thống xếp hạng tín dụng nội bộ phải được xây dựng theo các nguyên tắc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Xây dựng trên cơ sở số liệu, thông tin của tất cả khách hàng đã thu thập được trong thời gian ít nhất 01 (một) năm liền kề trước năm xây dựng hệ thống xếp hạng tín dụng nội bộ</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Ít nhất mỗi năm một lần, hệ thống xếp hạng tín dụng nội bộ phải được xem xét, sửa đổi, bổ sung trên cơ sở số liệu, thông tin khách hàng thu thập được trong năm</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lastRenderedPageBreak/>
        <w:t>c) Có quy định các mức xếp hạng tương ứng với mức độ rủi ro từ thấp đến cao</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d) Được Hội đồng quản trị (đối với tổ chức tín dụng là công ty cổ phần), Hội đồng thành viên (đối với tổ chức tín dụng là công ty trách nhiệm hữu hạn), Tổng giám đốc hoặc Giám đốc (đối với chi nhánh ngân hàng nước ngoài) phê duyệt áp dụng.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3. Tổ chức tín dụng, chi nhánh ngân hàng nước ngoài phải xây dựng hệ thống xếp hạng tín dụng nội bộ để xếp hạng khách hàng theo định kỳ hoặc khi cần thiết, làm cơ sở cho việc xét duyệt cấp tín dụng, quản lý chất lượng tín dụng, xây dựng chính sách dự phòng rủi ro phù hợp với phạm vi hoạt động, đối tượng khách hàng và tình hình thực tế của tổ chức tín dụng, chi nhánh ngân hàng nước ngoài.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Tổ chức tín dụng phi ngân hàng không bắt buộc phải có hệ thống xếp hạng tín dụng nội bộ.</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4. Trong thời hạn 10 (mười) ngày kể từ ngày ban hành, sửa đổi, bổ sung hệ thống xếp hạng tín dụng nội bộ, tổ chức tín dụng, chi nhánh ngân hàng nước ngoài phải gửi trực tiếp hoặc bằng đường bưu điện hoặc </w:t>
      </w:r>
      <w:r w:rsidRPr="0086320A">
        <w:rPr>
          <w:rFonts w:eastAsia="Times New Roman" w:cs="Times New Roman"/>
          <w:color w:val="000000"/>
          <w:sz w:val="24"/>
          <w:szCs w:val="24"/>
        </w:rPr>
        <w:t>phương tiện</w:t>
      </w:r>
      <w:r w:rsidRPr="0086320A">
        <w:rPr>
          <w:rFonts w:eastAsia="Times New Roman" w:cs="Times New Roman"/>
          <w:color w:val="000000"/>
          <w:sz w:val="24"/>
          <w:szCs w:val="24"/>
          <w:lang w:val="vi-VN"/>
        </w:rPr>
        <w:t> điện tử cho Ngân hàng Nhà nước theo quy định tại khoản 5 Điều này các văn bản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Đối với trường hợp ban hành mới: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 Văn bản báo cáo về việc ban hành, áp dụng hệ thống xếp hạng tín dụng nội bộ;</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(ii) Hệ thống xếp hạng tín dụng nội bộ, tài liệu mô tả về hệ thống xếp hạng tín dụng nội bộ, quy trình thu thập thông tin, số liệu về khách hàng, xếp hạng khách hàng;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(iii) Hướng dẫn sử dụng hệ thống xếp hạng tín dụng nội bộ, bao gồm cả việc phân cấp, ủy quyền trong việc thu thập thông tin, số liệu về khách hàng, xếp hạng khách hàng.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Đối với trường hợp sửa đổi, bổ sung: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 Văn bản báo cáo về việc sửa đổi, bổ sung hệ thống xếp hạng tín dụng nội bộ, trong đó báo cáo rõ lý do sửa đổi, bổ sung;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(ii) Các văn bản sửa đổi, bổ sung hệ thống xếp hạng tín dụng</w:t>
      </w:r>
      <w:r w:rsidRPr="0086320A">
        <w:rPr>
          <w:rFonts w:eastAsia="Times New Roman" w:cs="Times New Roman"/>
          <w:color w:val="000000"/>
          <w:sz w:val="24"/>
          <w:szCs w:val="24"/>
        </w:rPr>
        <w:t> nội bộ</w:t>
      </w:r>
      <w:r w:rsidRPr="0086320A">
        <w:rPr>
          <w:rFonts w:eastAsia="Times New Roman" w:cs="Times New Roman"/>
          <w:color w:val="000000"/>
          <w:sz w:val="24"/>
          <w:szCs w:val="24"/>
          <w:lang w:val="vi-VN"/>
        </w:rPr>
        <w:t> và hướng dẫn sử dụng hệ thống xếp hạng tín dụng nội bộ.</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5. Tổ chức tín dụng, chi nhánh ngân hàng nước ngoài gửi báo cáo cho Ngân hàng Nhà nước theo quy định tại khoản 4 Điều này như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Tổ chức tín dụng, chi nhánh ngân hàng nước ngoài gửi báo cáo cho Ngân hàng Nhà nước (Cơ quan Thanh tra, giám sát ngân hàng), trừ trường hợp quy định tại điểm b Khoản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Chi nhánh ngân hàng nước ngoài thuộc đối tượng thanh tra, giám sát an toàn vi mô của Ngân hàng Nhà nước chi nhánh tỉnh, thành phố trực thuộc Trung ương gửi báo cáo cho Ngân hàng Nhà nước chi nhánh tỉnh, thành phố trực thuộc Trung ương đó.</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Điều 6. Quy định nội bộ về cấp tín dụng, quản lý nợ, chính sách dự phòng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1. Tổ chức tín dụng, chi nhánh ngân hàng nước ngoài phải ban hành quy định nội bộ về cấp tín dụng, quản lý nợ, chính sách dự phòng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2. Quy định nội bộ về cấp tín dụng, quản lý </w:t>
      </w:r>
      <w:r w:rsidRPr="0086320A">
        <w:rPr>
          <w:rFonts w:eastAsia="Times New Roman" w:cs="Times New Roman"/>
          <w:color w:val="000000"/>
          <w:sz w:val="24"/>
          <w:szCs w:val="24"/>
        </w:rPr>
        <w:t>nợ</w:t>
      </w:r>
      <w:r w:rsidRPr="0086320A">
        <w:rPr>
          <w:rFonts w:eastAsia="Times New Roman" w:cs="Times New Roman"/>
          <w:color w:val="000000"/>
          <w:sz w:val="24"/>
          <w:szCs w:val="24"/>
          <w:lang w:val="vi-VN"/>
        </w:rPr>
        <w:t> tối thiểu phải đáp ứng các yêu cầu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Được xây dựng trên cơ sở thông tin, số liệu khách hàng đã thu thập được, kết quả xếp hạng khách hàng theo hệ thống xếp hạng tín dụng nội bộ;</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lastRenderedPageBreak/>
        <w:t>b) Được sử dụng thống nhất trong toàn hệ thống, làm cơ sở để thẩm định, phê duyệt cấp tín dụng, quản lý </w:t>
      </w:r>
      <w:r w:rsidRPr="0086320A">
        <w:rPr>
          <w:rFonts w:eastAsia="Times New Roman" w:cs="Times New Roman"/>
          <w:color w:val="000000"/>
          <w:sz w:val="24"/>
          <w:szCs w:val="24"/>
        </w:rPr>
        <w:t>nợ</w:t>
      </w:r>
      <w:r w:rsidRPr="0086320A">
        <w:rPr>
          <w:rFonts w:eastAsia="Times New Roman" w:cs="Times New Roman"/>
          <w:color w:val="000000"/>
          <w:sz w:val="24"/>
          <w:szCs w:val="24"/>
          <w:lang w:val="vi-VN"/>
        </w:rPr>
        <w:t> đối với khách hàng cụ thể;</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 Có quy định chính sách tín dụng đối với khách hàng, trong đó bao gồm quy định về điều kiện cấp tín dụng, hạn mức cấp tín dụng, lãi suất, hồ sơ, trình tự, thủ tục, quy trình thẩm định, phê duyệt cấp tín dụng, quản lý </w:t>
      </w:r>
      <w:r w:rsidRPr="0086320A">
        <w:rPr>
          <w:rFonts w:eastAsia="Times New Roman" w:cs="Times New Roman"/>
          <w:color w:val="000000"/>
          <w:sz w:val="24"/>
          <w:szCs w:val="24"/>
        </w:rPr>
        <w:t>nợ</w:t>
      </w:r>
      <w:r w:rsidRPr="0086320A">
        <w:rPr>
          <w:rFonts w:eastAsia="Times New Roman" w:cs="Times New Roman"/>
          <w:color w:val="000000"/>
          <w:sz w:val="24"/>
          <w:szCs w:val="24"/>
          <w:lang w:val="vi-VN"/>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d) Có quy định về quản lý nhằm đảm bảo tuân thủ quy định của Ngân hàng Nhà nước về các tỷ lệ đảm bảo an toàn trong hoạt động của tổ chức tín dụng, chi nhánh ngân hàng nước ngoài;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đ) Có quy định về trách nhiệm, quyền hạn của các đơn vị, cá nhân trong việc thẩm định, phê duyệt cấp tín dụng, quản lý chất lượng tín dụng, quản lý tài sản bảo đảm;</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e) Có quy định về quy trình, nội dung kiểm tra, kiểm soát trước, trong và sau khi cấp tín dụng;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g) Có quy định về biện pháp bảo đảm, thẩm định và quản lý tài sản bảo đảm;</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h) Có quy định về định giá tài sản bảo đảm, bao gồm nguyên tắc, định kỳ, phương pháp, quy trình và trách nhiệm của từng đơn vị, cá nhân có liên quan đến việc định giá tài sản bảo đảm theo quy định của pháp luật để đảm bảo giá trị tài sản bảo đảm phù hợp với giá trị thị trường khi tính số tiền trích lập dự phòng cụ thể theo quy định tại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 Có quy định về các biện pháp thu hồi nợ.</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3. Chính sách dự phòng rủi ro tối thiểu phải đáp ứng các yêu cầu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Phù hợp với các quy định</w:t>
      </w:r>
      <w:r w:rsidRPr="0086320A">
        <w:rPr>
          <w:rFonts w:eastAsia="Times New Roman" w:cs="Times New Roman"/>
          <w:color w:val="000000"/>
          <w:sz w:val="24"/>
          <w:szCs w:val="24"/>
        </w:rPr>
        <w:t> của</w:t>
      </w:r>
      <w:r w:rsidRPr="0086320A">
        <w:rPr>
          <w:rFonts w:eastAsia="Times New Roman" w:cs="Times New Roman"/>
          <w:color w:val="000000"/>
          <w:sz w:val="24"/>
          <w:szCs w:val="24"/>
          <w:lang w:val="vi-VN"/>
        </w:rPr>
        <w:t> pháp luật về chế độ kế toán, tài chính và báo cáo, thống kê;</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Có quy trình thu thập thông tin, số liệu về khách hàng, bảo đảm phân loại nợ, cam kết ngoại bảng chính xác, quản lý nợ xấu, quản lý </w:t>
      </w:r>
      <w:r w:rsidRPr="0086320A">
        <w:rPr>
          <w:rFonts w:eastAsia="Times New Roman" w:cs="Times New Roman"/>
          <w:color w:val="000000"/>
          <w:sz w:val="24"/>
          <w:szCs w:val="24"/>
        </w:rPr>
        <w:t>số dư</w:t>
      </w:r>
      <w:r w:rsidRPr="0086320A">
        <w:rPr>
          <w:rFonts w:eastAsia="Times New Roman" w:cs="Times New Roman"/>
          <w:color w:val="000000"/>
          <w:sz w:val="24"/>
          <w:szCs w:val="24"/>
          <w:lang w:val="vi-VN"/>
        </w:rPr>
        <w:t> cấp tín dụng xấu, trích lập đầy đủ dự phòng </w:t>
      </w:r>
      <w:r w:rsidRPr="0086320A">
        <w:rPr>
          <w:rFonts w:eastAsia="Times New Roman" w:cs="Times New Roman"/>
          <w:color w:val="000000"/>
          <w:sz w:val="24"/>
          <w:szCs w:val="24"/>
        </w:rPr>
        <w:t>rủi ro </w:t>
      </w:r>
      <w:r w:rsidRPr="0086320A">
        <w:rPr>
          <w:rFonts w:eastAsia="Times New Roman" w:cs="Times New Roman"/>
          <w:color w:val="000000"/>
          <w:sz w:val="24"/>
          <w:szCs w:val="24"/>
          <w:lang w:val="vi-VN"/>
        </w:rPr>
        <w:t>theo quy định;</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 Có quy định cụ thể về việc phân loại nợ, cam kết ngoại bảng, mức trích, phương pháp trích lập dự phòng rủi ro và việc sử dụng dự phòng rủi ro trong hoạt động đối với từng đối tượng khách hàng theo định kỳ, đột xuất;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d) Có quy định quyền hạn, trách nhiệm của các đơn vị, cá nhân trong việc phân loại nợ, cam kết ngoại bảng, trích lập và sử dụng dự phòng rủi ro trong hoạt động;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đ) Có cơ chế kiểm tra, giám sát và báo cáo các nội dung quy định từ điểm a đến điểm d Khoản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Điều 7. Báo cáo về quy định nội bộ về cấp tín dụng, quản lý </w:t>
      </w:r>
      <w:r w:rsidRPr="0086320A">
        <w:rPr>
          <w:rFonts w:eastAsia="Times New Roman" w:cs="Times New Roman"/>
          <w:b/>
          <w:bCs/>
          <w:color w:val="000000"/>
          <w:sz w:val="24"/>
          <w:szCs w:val="24"/>
        </w:rPr>
        <w:t>nợ</w:t>
      </w:r>
      <w:r w:rsidRPr="0086320A">
        <w:rPr>
          <w:rFonts w:eastAsia="Times New Roman" w:cs="Times New Roman"/>
          <w:b/>
          <w:bCs/>
          <w:color w:val="000000"/>
          <w:sz w:val="24"/>
          <w:szCs w:val="24"/>
          <w:lang w:val="vi-VN"/>
        </w:rPr>
        <w:t>, chính sách dự phòng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1. Trong thời hạn 10 (mười) ngày, kể từ ngày ban hành, sửa đổi, bổ sung quy định nội bộ về cấp tín dụng, quản lý </w:t>
      </w:r>
      <w:r w:rsidRPr="0086320A">
        <w:rPr>
          <w:rFonts w:eastAsia="Times New Roman" w:cs="Times New Roman"/>
          <w:color w:val="000000"/>
          <w:sz w:val="24"/>
          <w:szCs w:val="24"/>
        </w:rPr>
        <w:t>nợ</w:t>
      </w:r>
      <w:r w:rsidRPr="0086320A">
        <w:rPr>
          <w:rFonts w:eastAsia="Times New Roman" w:cs="Times New Roman"/>
          <w:color w:val="000000"/>
          <w:sz w:val="24"/>
          <w:szCs w:val="24"/>
          <w:lang w:val="vi-VN"/>
        </w:rPr>
        <w:t>, chính sách dự phòng rủi ro, tổ chức tín dụng, chi nhánh ngân hàng nước ngoài phải gửi trực tiếp hoặc bằng đường bưu điện </w:t>
      </w:r>
      <w:r w:rsidRPr="0086320A">
        <w:rPr>
          <w:rFonts w:eastAsia="Times New Roman" w:cs="Times New Roman"/>
          <w:color w:val="000000"/>
          <w:sz w:val="24"/>
          <w:szCs w:val="24"/>
        </w:rPr>
        <w:t>hoặc phương tiện điện tử </w:t>
      </w:r>
      <w:r w:rsidRPr="0086320A">
        <w:rPr>
          <w:rFonts w:eastAsia="Times New Roman" w:cs="Times New Roman"/>
          <w:color w:val="000000"/>
          <w:sz w:val="24"/>
          <w:szCs w:val="24"/>
          <w:lang w:val="vi-VN"/>
        </w:rPr>
        <w:t>cho Ngân hàng Nhà nước theo quy định tại khoản 2 Điều này 01 bộ hồ sơ gồm các văn bản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Đối với trường hợp ban hành mới: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 Văn bản báo cáo về việc ban hành quy định nội bộ về cấp tín dụng, quản lý </w:t>
      </w:r>
      <w:r w:rsidRPr="0086320A">
        <w:rPr>
          <w:rFonts w:eastAsia="Times New Roman" w:cs="Times New Roman"/>
          <w:color w:val="000000"/>
          <w:sz w:val="24"/>
          <w:szCs w:val="24"/>
        </w:rPr>
        <w:t>nợ</w:t>
      </w:r>
      <w:r w:rsidRPr="0086320A">
        <w:rPr>
          <w:rFonts w:eastAsia="Times New Roman" w:cs="Times New Roman"/>
          <w:color w:val="000000"/>
          <w:sz w:val="24"/>
          <w:szCs w:val="24"/>
          <w:lang w:val="vi-VN"/>
        </w:rPr>
        <w:t>, chính sách dự phòng rủi ro</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(ii) Quy định nội bộ về cấp tín dụng, quản lý </w:t>
      </w:r>
      <w:r w:rsidRPr="0086320A">
        <w:rPr>
          <w:rFonts w:eastAsia="Times New Roman" w:cs="Times New Roman"/>
          <w:color w:val="000000"/>
          <w:sz w:val="24"/>
          <w:szCs w:val="24"/>
        </w:rPr>
        <w:t>nợ</w:t>
      </w:r>
      <w:r w:rsidRPr="0086320A">
        <w:rPr>
          <w:rFonts w:eastAsia="Times New Roman" w:cs="Times New Roman"/>
          <w:color w:val="000000"/>
          <w:sz w:val="24"/>
          <w:szCs w:val="24"/>
          <w:lang w:val="vi-VN"/>
        </w:rPr>
        <w:t>, chính sách dự phòng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Đối với trường hợp sửa đổi, bổ sung: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lastRenderedPageBreak/>
        <w:t>(i) Văn bản báo cáo về việc sửa đổi, bổ sung quy định nội bộ về cấp tín dụng, quản lý </w:t>
      </w:r>
      <w:r w:rsidRPr="0086320A">
        <w:rPr>
          <w:rFonts w:eastAsia="Times New Roman" w:cs="Times New Roman"/>
          <w:color w:val="000000"/>
          <w:sz w:val="24"/>
          <w:szCs w:val="24"/>
        </w:rPr>
        <w:t>nợ</w:t>
      </w:r>
      <w:r w:rsidRPr="0086320A">
        <w:rPr>
          <w:rFonts w:eastAsia="Times New Roman" w:cs="Times New Roman"/>
          <w:color w:val="000000"/>
          <w:sz w:val="24"/>
          <w:szCs w:val="24"/>
          <w:lang w:val="vi-VN"/>
        </w:rPr>
        <w:t>, chính sách dự phòng rủi ro, trong đó báo cáo rõ lý do sửa đổi, bổ sung</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(ii) Các văn bản sửa đổi, bổ sung quy định nội bộ về cấp tín dụng, quản lý </w:t>
      </w:r>
      <w:r w:rsidRPr="0086320A">
        <w:rPr>
          <w:rFonts w:eastAsia="Times New Roman" w:cs="Times New Roman"/>
          <w:color w:val="000000"/>
          <w:sz w:val="24"/>
          <w:szCs w:val="24"/>
        </w:rPr>
        <w:t>nợ</w:t>
      </w:r>
      <w:r w:rsidRPr="0086320A">
        <w:rPr>
          <w:rFonts w:eastAsia="Times New Roman" w:cs="Times New Roman"/>
          <w:color w:val="000000"/>
          <w:sz w:val="24"/>
          <w:szCs w:val="24"/>
          <w:lang w:val="vi-VN"/>
        </w:rPr>
        <w:t>, chính sách dự phòng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2. Tổ chức tín dụng, chi nhánh ngân hàng nước ngoài gửi báo cáo cho Ngân hàng Nhà nước theo quy định tại khoản 1 Điều này như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Tổ chức tín dụng, chi nhánh ngân hàng nước ngoài gửi báo cáo cho Ngân hàng Nhà nước (Cơ quan Thanh tra, giám sát ngân hàng), trừ trường hợp quy định tại điểm b </w:t>
      </w:r>
      <w:r w:rsidRPr="0086320A">
        <w:rPr>
          <w:rFonts w:eastAsia="Times New Roman" w:cs="Times New Roman"/>
          <w:color w:val="000000"/>
          <w:sz w:val="24"/>
          <w:szCs w:val="24"/>
        </w:rPr>
        <w:t>Khoản</w:t>
      </w:r>
      <w:r w:rsidRPr="0086320A">
        <w:rPr>
          <w:rFonts w:eastAsia="Times New Roman" w:cs="Times New Roman"/>
          <w:color w:val="000000"/>
          <w:sz w:val="24"/>
          <w:szCs w:val="24"/>
          <w:lang w:val="vi-VN"/>
        </w:rPr>
        <w:t>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Chi nhánh ngân hàng nước ngoài thuộc đối tượng thanh tra, giám sát an toàn vi mô của Ngân hàng Nhà nước chi nhánh tỉnh, thành phố trực thuộc Trung ương gửi báo cáo cho Ngân hàng Nhà nước chi nhánh tỉnh, thành phố trực thuộc Trung ương đó.</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Điều 8. Thời điểm, trình tự phân loại, trích lập dự phòng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1. Ít nhất mỗi tháng một lần, trong 07 (bảy) ngày đầu tiên của tháng, tổ chức tín dụng, chi nhánh ngân hàng nước ngoài căn cứ quy định tại </w:t>
      </w:r>
      <w:r w:rsidRPr="0086320A">
        <w:rPr>
          <w:rFonts w:eastAsia="Times New Roman" w:cs="Times New Roman"/>
          <w:color w:val="000000"/>
          <w:sz w:val="24"/>
          <w:szCs w:val="24"/>
        </w:rPr>
        <w:t>khoản 5 Điều 1, </w:t>
      </w:r>
      <w:r w:rsidRPr="0086320A">
        <w:rPr>
          <w:rFonts w:eastAsia="Times New Roman" w:cs="Times New Roman"/>
          <w:color w:val="000000"/>
          <w:sz w:val="24"/>
          <w:szCs w:val="24"/>
          <w:lang w:val="vi-VN"/>
        </w:rPr>
        <w:t>Điều 9, Điều 10, Điều 11, Điều 12, Điều 13 Thông tư này tự thực hiện phân loại nợ, cam kết ngoại bảng đến thời điểm cuối ngày cuối cùng của tháng trước liền kề, trích lập dự phòng rủi ro theo kết quả tự phân loại nợ, cam kết ngoại bảng và gửi kết quả tự phân loại nợ, cam kết ngoại bảng cho CIC.</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Ngoài thời điểm phân loại nêu trên, tổ chức tín dụng, chi nhánh ngân hàng nước ngoài được tự thực hiện phân loại nợ, cam kết ngoại bảng theo quy định nội bộ.</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2. Trong thời hạn 03 (ba) ngày kể từ ngày nhận được kết quả tự phân loại nợ, cam kết ngoại bảng của tổ chức tín dụng, chi nhánh ngân hàng nước ngoài quy định tại khoản 1 Điều này, CIC tổng hợp danh sách khách hàng theo nhóm nợ có mức độ rủi ro cao nhất mà các tổ chức tín dụng, chi nhánh ngân hàng nước ngoài đã tự phân loại và cung cấp cho tổ chức tín dụng, chi nhánh ngân hàng nước ngoài.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3. Trong thời </w:t>
      </w:r>
      <w:r w:rsidRPr="0086320A">
        <w:rPr>
          <w:rFonts w:eastAsia="Times New Roman" w:cs="Times New Roman"/>
          <w:color w:val="000000"/>
          <w:sz w:val="24"/>
          <w:szCs w:val="24"/>
        </w:rPr>
        <w:t>hạn</w:t>
      </w:r>
      <w:r w:rsidRPr="0086320A">
        <w:rPr>
          <w:rFonts w:eastAsia="Times New Roman" w:cs="Times New Roman"/>
          <w:color w:val="000000"/>
          <w:sz w:val="24"/>
          <w:szCs w:val="24"/>
          <w:lang w:val="vi-VN"/>
        </w:rPr>
        <w:t> 03 (ba) ngày kể từ ngày nhận được danh sách khách hàng do CIC cung cấp theo quy định tại khoản 2 Điều này, tổ chức tín dụng, chi nhánh ngân hàng nước ngoài: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Điều chỉnh nhóm nợ theo nhóm nợ của danh sách khách hàng do CIC cung cấp</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Trường hợp kết quả tự phân loại nợ, cam kết ngoại bảng của khách hàng theo quy định tại khoản 1 Điều này thấp hơn nhóm nợ theo danh sách khách hàng do CIC cung cấp, tổ chức tín dụng, chi nhánh ngân hàng nước ngoài phải điều chỉnh kết quả phân loại nợ, cam kết ngoại bảng theo nhóm nợ của khách hàng do CIC cung cấp</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Căn cứ kết quả điều chỉnh nhóm nợ tại điểm a Khoản này để điều chỉnh số tiền trích lập dự phòng rủi ro của tháng cuối cùng của quý.</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4. Căn cứ kết quả thanh tra, giám sát và thông tin tín dụng có liên quan, Ngân hàng Nhà nước </w:t>
      </w:r>
      <w:r w:rsidRPr="0086320A">
        <w:rPr>
          <w:rFonts w:eastAsia="Times New Roman" w:cs="Times New Roman"/>
          <w:color w:val="000000"/>
          <w:sz w:val="24"/>
          <w:szCs w:val="24"/>
        </w:rPr>
        <w:t>có quyền </w:t>
      </w:r>
      <w:r w:rsidRPr="0086320A">
        <w:rPr>
          <w:rFonts w:eastAsia="Times New Roman" w:cs="Times New Roman"/>
          <w:color w:val="000000"/>
          <w:sz w:val="24"/>
          <w:szCs w:val="24"/>
          <w:lang w:val="vi-VN"/>
        </w:rPr>
        <w:t>yêu cầu tổ chức tín dụng, chi nhánh ngân hàng nước ngoài thực hiện việc đánh giá, phân loại lại các khoản nợ cụ thể và trích lập dự phòng đầy đủ, phù hợp với mức độ rủi ro của các khoản nợ đó.</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Chương II</w:t>
      </w:r>
    </w:p>
    <w:p w:rsidR="0086320A" w:rsidRPr="0086320A" w:rsidRDefault="0086320A" w:rsidP="0086320A">
      <w:pPr>
        <w:shd w:val="clear" w:color="auto" w:fill="FFFFFF"/>
        <w:spacing w:before="120" w:after="0" w:line="240" w:lineRule="auto"/>
        <w:jc w:val="center"/>
        <w:rPr>
          <w:rFonts w:eastAsia="Times New Roman" w:cs="Times New Roman"/>
          <w:color w:val="000000"/>
          <w:sz w:val="24"/>
          <w:szCs w:val="24"/>
        </w:rPr>
      </w:pPr>
      <w:r w:rsidRPr="0086320A">
        <w:rPr>
          <w:rFonts w:eastAsia="Times New Roman" w:cs="Times New Roman"/>
          <w:b/>
          <w:bCs/>
          <w:color w:val="000000"/>
          <w:sz w:val="24"/>
          <w:szCs w:val="24"/>
          <w:lang w:val="vi-VN"/>
        </w:rPr>
        <w:t>QUY ĐỊNH CỤ THỂ</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Mục 1</w:t>
      </w:r>
      <w:r w:rsidRPr="0086320A">
        <w:rPr>
          <w:rFonts w:eastAsia="Times New Roman" w:cs="Times New Roman"/>
          <w:b/>
          <w:bCs/>
          <w:color w:val="000000"/>
          <w:sz w:val="24"/>
          <w:szCs w:val="24"/>
        </w:rPr>
        <w:t>. </w:t>
      </w:r>
      <w:r w:rsidRPr="0086320A">
        <w:rPr>
          <w:rFonts w:eastAsia="Times New Roman" w:cs="Times New Roman"/>
          <w:b/>
          <w:bCs/>
          <w:color w:val="000000"/>
          <w:sz w:val="24"/>
          <w:szCs w:val="24"/>
          <w:lang w:val="vi-VN"/>
        </w:rPr>
        <w:t>PHÂN LOẠI NỢ VÀ CAM KẾT NGOẠI BẢNG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lastRenderedPageBreak/>
        <w:t>Điều 9. Nguyên tắc tự phân loại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1. Toàn bộ dư nợ và </w:t>
      </w:r>
      <w:r w:rsidRPr="0086320A">
        <w:rPr>
          <w:rFonts w:eastAsia="Times New Roman" w:cs="Times New Roman"/>
          <w:color w:val="000000"/>
          <w:sz w:val="24"/>
          <w:szCs w:val="24"/>
        </w:rPr>
        <w:t>số dư</w:t>
      </w:r>
      <w:r w:rsidRPr="0086320A">
        <w:rPr>
          <w:rFonts w:eastAsia="Times New Roman" w:cs="Times New Roman"/>
          <w:color w:val="000000"/>
          <w:sz w:val="24"/>
          <w:szCs w:val="24"/>
          <w:lang w:val="vi-VN"/>
        </w:rPr>
        <w:t> cam kết ngoại bảng của một khách hàng tại một tổ chức tín dụng, chi nhánh ngân hàng nước ngoài phải được phân loại vào cùng một nhóm nợ. Đối với khách hàng có từ hai khoản nợ và/hoặc cam kết ngoại bảng trở lên tại tổ chức tín dụng, chi nhánh ngân hàng nước ngoài mà có bất cứ một khoản nợ hoặc cam kết ngoại bảng nào bị phân loại vào nhóm có mức độ rủi ro cao hơn các khoản nợ hoặc cam kết ngoại bảng khác thì tổ chức tín dụng, chi nhánh ngân hàng nước ngoài đó phải phân loại lại các khoản nợ và/hoặc cam kết ngoại bảng còn lại của khách hàng vào nhóm có mức độ rủi ro cao nhất.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2. Đối với khoản cấp tín dụng hợp vốn, từng tổ chức tín dụng, chi nhánh ngân hàng nước ngoài tham gia cấp tín dụng hợp vốn có trách nhiệm thông báo cho tổ chức tín dụng, chi nhánh ngân hàng nước ngoài là thành viên tham gia cấp tín dụng hợp vốn về kết quả tự phân loại nợ theo quy định tại khoản 1 Điều 8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3. Đối với khoản ủy thác cấp tín dụng mà bên nhận ủy thác chưa giải ngân hết số tiền đã ủy thác theo hợp đồng ủy thác, tổ chức tín dụng, chi nhánh ngân hàng nước ngoài ủy thác phải phân loại số tiền đã ủy thác nhưng chưa giải ngân như là một khoản cho vay đối với bên nhận ủy thác. Thời gian quá hạn được xác định từ thời điểm bên nhận ủy thác không giải ngân đúng theo thời hạn giải ngân quy định tại hợp đồng ủy thác.</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4. Đối với khoản nợ đ</w:t>
      </w:r>
      <w:r w:rsidRPr="0086320A">
        <w:rPr>
          <w:rFonts w:eastAsia="Times New Roman" w:cs="Times New Roman"/>
          <w:color w:val="000000"/>
          <w:sz w:val="24"/>
          <w:szCs w:val="24"/>
        </w:rPr>
        <w:t>ã</w:t>
      </w:r>
      <w:r w:rsidRPr="0086320A">
        <w:rPr>
          <w:rFonts w:eastAsia="Times New Roman" w:cs="Times New Roman"/>
          <w:color w:val="000000"/>
          <w:sz w:val="24"/>
          <w:szCs w:val="24"/>
          <w:lang w:val="vi-VN"/>
        </w:rPr>
        <w:t> bán (trừ khoản nợ đã được sử dụng dự phòng để xử lý rủi ro) nhưng chưa thu được đầy đủ tiền bán nợ thì tổ chức tín dụng, chi nhánh ngân hàng nước ngoài bán nợ phân loại số tiền </w:t>
      </w:r>
      <w:r w:rsidRPr="0086320A">
        <w:rPr>
          <w:rFonts w:eastAsia="Times New Roman" w:cs="Times New Roman"/>
          <w:color w:val="000000"/>
          <w:sz w:val="24"/>
          <w:szCs w:val="24"/>
        </w:rPr>
        <w:t>chưa thu được như là khoản nợ chưa bán.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5. Đối với khoản nợ đã mua, </w:t>
      </w:r>
      <w:r w:rsidRPr="0086320A">
        <w:rPr>
          <w:rFonts w:eastAsia="Times New Roman" w:cs="Times New Roman"/>
          <w:color w:val="000000"/>
          <w:sz w:val="24"/>
          <w:szCs w:val="24"/>
        </w:rPr>
        <w:t>tại thời điểm mua nợ </w:t>
      </w:r>
      <w:r w:rsidRPr="0086320A">
        <w:rPr>
          <w:rFonts w:eastAsia="Times New Roman" w:cs="Times New Roman"/>
          <w:color w:val="000000"/>
          <w:sz w:val="24"/>
          <w:szCs w:val="24"/>
          <w:lang w:val="vi-VN"/>
        </w:rPr>
        <w:t>tổ chức tín dụng, chi nhánh ngân hàng nước ngoài mua nợ phân loại số tiền mua nợ vào nhóm nợ có mức độ rủi ro không thấp hơn nhóm nợ mà khoản nợ đó đã được phân loại tại thời điểm phân loại nợ gần nhất trước khi mua</w:t>
      </w:r>
      <w:r w:rsidRPr="0086320A">
        <w:rPr>
          <w:rFonts w:eastAsia="Times New Roman" w:cs="Times New Roman"/>
          <w:color w:val="000000"/>
          <w:sz w:val="24"/>
          <w:szCs w:val="24"/>
        </w:rPr>
        <w:t> và tiếp tục thực hiện</w:t>
      </w:r>
      <w:r w:rsidRPr="0086320A">
        <w:rPr>
          <w:rFonts w:eastAsia="Times New Roman" w:cs="Times New Roman"/>
          <w:color w:val="000000"/>
          <w:sz w:val="24"/>
          <w:szCs w:val="24"/>
          <w:lang w:val="vi-VN"/>
        </w:rPr>
        <w:t> phân loại </w:t>
      </w:r>
      <w:r w:rsidRPr="0086320A">
        <w:rPr>
          <w:rFonts w:eastAsia="Times New Roman" w:cs="Times New Roman"/>
          <w:color w:val="000000"/>
          <w:sz w:val="24"/>
          <w:szCs w:val="24"/>
        </w:rPr>
        <w:t>số tiền mua nợ như khoản nợ tại chính tổ chức tín dụng, chi nhánh ngân hàng nước ngoài.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6. Đối với số tiền mua, ủy thác cho tổ chức khác (bao gồm cả tổ chức tín dụng, chi nhánh ngân hàng nước ngoài) mua trái phiếu doanh nghiệp chưa niêm yết, tổ chức tín dụng, chi nhánh ngân hàng nước ngoài phân loại số tiền mua trái phiếu như là một khoản cho vay không có bảo đảm đối với bên phát hành trái phiếu, trừ trường hợp trái phiếu doanh nghiệp được bảo đảm thanh toán bằng tài sản.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7. Đối với khoản chiết khấu các công cụ chuyển nhượng và giấy tờ có giá khác:</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Dưới hình thức mua có kỳ hạn: Tổ chức tín dụng, chi nhánh ngân hàng nước ngoài phân loại khoản chiết khấu như là một khoản cho vay đối với người thụ hưởng;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Dưới hình thức mua có bảo lưu quyền truy đòi: tổ chức tín dụng, chi nhánh ngân hàng nước ngoài phân loại khoản chiết khấu như là một khoản cho vay đối với người phát hành (trừ giấy tờ có giá là trái phiếu Chính phủ, trái phiếu được Chính phủ bảo lãnh, trái phiếu chính quyền địa phương). Trường hợp thực hiện quyền truy đòi, tổ chức tín dụng, chi nhánh ngân hàng nước ngoài phân loại khoản chiết khấu như là một khoản cho vay đối với người thụ hưởng.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8. Đối với các khoản nợ vi phạm pháp luật quy định tại điểm c(iv) khoản 1 Điều 10 Thông tư này, tại thời điểm phát hiện vi phạm, tổ chức tín dụng, chi nhánh ngân hàng nước ngoài phải ra ngay quyết định thu hồi</w:t>
      </w:r>
      <w:r w:rsidRPr="0086320A">
        <w:rPr>
          <w:rFonts w:eastAsia="Times New Roman" w:cs="Times New Roman"/>
          <w:color w:val="000000"/>
          <w:sz w:val="24"/>
          <w:szCs w:val="24"/>
        </w:rPr>
        <w:t> theo quy định của pháp luật</w:t>
      </w:r>
      <w:r w:rsidRPr="0086320A">
        <w:rPr>
          <w:rFonts w:eastAsia="Times New Roman" w:cs="Times New Roman"/>
          <w:color w:val="000000"/>
          <w:sz w:val="24"/>
          <w:szCs w:val="24"/>
          <w:lang w:val="vi-VN"/>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lastRenderedPageBreak/>
        <w:t>Đối với các khoản nợ phải thu hồi theo kết luận thanh tra, </w:t>
      </w:r>
      <w:r w:rsidRPr="0086320A">
        <w:rPr>
          <w:rFonts w:eastAsia="Times New Roman" w:cs="Times New Roman"/>
          <w:color w:val="000000"/>
          <w:sz w:val="24"/>
          <w:szCs w:val="24"/>
        </w:rPr>
        <w:t>kiểm tra, </w:t>
      </w:r>
      <w:r w:rsidRPr="0086320A">
        <w:rPr>
          <w:rFonts w:eastAsia="Times New Roman" w:cs="Times New Roman"/>
          <w:color w:val="000000"/>
          <w:sz w:val="24"/>
          <w:szCs w:val="24"/>
          <w:lang w:val="vi-VN"/>
        </w:rPr>
        <w:t>tổ chức tín dụng, chi nhánh ngân hàng nước ngoài phải ra quyết định thu hồi theo kết luận thanh tra</w:t>
      </w:r>
      <w:r w:rsidRPr="0086320A">
        <w:rPr>
          <w:rFonts w:eastAsia="Times New Roman" w:cs="Times New Roman"/>
          <w:color w:val="000000"/>
          <w:sz w:val="24"/>
          <w:szCs w:val="24"/>
        </w:rPr>
        <w:t>, kiểm tra</w:t>
      </w:r>
      <w:r w:rsidRPr="0086320A">
        <w:rPr>
          <w:rFonts w:eastAsia="Times New Roman" w:cs="Times New Roman"/>
          <w:color w:val="000000"/>
          <w:sz w:val="24"/>
          <w:szCs w:val="24"/>
          <w:lang w:val="vi-VN"/>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Đối với các khoản nợ vi phạm pháp luật quy định tại điểm c(iv) khoản 1 Điều 10 Thông tư này, các khoản nợ phải thu hồi theo kết luận thanh tra,</w:t>
      </w:r>
      <w:r w:rsidRPr="0086320A">
        <w:rPr>
          <w:rFonts w:eastAsia="Times New Roman" w:cs="Times New Roman"/>
          <w:color w:val="000000"/>
          <w:sz w:val="24"/>
          <w:szCs w:val="24"/>
        </w:rPr>
        <w:t> kiểm tra,</w:t>
      </w:r>
      <w:r w:rsidRPr="0086320A">
        <w:rPr>
          <w:rFonts w:eastAsia="Times New Roman" w:cs="Times New Roman"/>
          <w:color w:val="000000"/>
          <w:sz w:val="24"/>
          <w:szCs w:val="24"/>
          <w:lang w:val="vi-VN"/>
        </w:rPr>
        <w:t> tổ chức tín dụng, chi nhánh ngân hàng nước ngoài không được cơ cấu lại thời hạn trả nợ và trong thời gian chưa thu hồi được theo quyết định thu hồi, tổ chức tín dụng</w:t>
      </w:r>
      <w:r w:rsidRPr="0086320A">
        <w:rPr>
          <w:rFonts w:eastAsia="Times New Roman" w:cs="Times New Roman"/>
          <w:color w:val="000000"/>
          <w:sz w:val="24"/>
          <w:szCs w:val="24"/>
        </w:rPr>
        <w:t>,</w:t>
      </w:r>
      <w:r w:rsidRPr="0086320A">
        <w:rPr>
          <w:rFonts w:eastAsia="Times New Roman" w:cs="Times New Roman"/>
          <w:color w:val="000000"/>
          <w:sz w:val="24"/>
          <w:szCs w:val="24"/>
          <w:lang w:val="vi-VN"/>
        </w:rPr>
        <w:t> chi nhánh ngân hàng nước ngoài thực hiện phân loại nợ, trích lập dự phòng rủi ro theo quy định tại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9. Đối với khoản nợ theo hình thức bao thanh toán, tổ chức tín dụng, chi nhánh ngân hàng nước ngoài phân loại khoản bao thanh toán như là một khoản cho vay đối với bên mua hàng trong thời hạn bao thanh toán. Trường hợp thực hiện quyền truy đòi, tổ chức tín dụng, chi nhánh ngân hàng nước ngoài phân loại khoản nợ như là một khoản cho vay đối với bên bán hàng.</w:t>
      </w:r>
    </w:p>
    <w:p w:rsidR="0086320A" w:rsidRPr="0086320A" w:rsidRDefault="0086320A" w:rsidP="0086320A">
      <w:pPr>
        <w:shd w:val="clear" w:color="auto" w:fill="FFFFFF"/>
        <w:spacing w:after="0" w:line="240" w:lineRule="auto"/>
        <w:rPr>
          <w:rFonts w:eastAsia="Times New Roman" w:cs="Times New Roman"/>
          <w:color w:val="000000"/>
          <w:sz w:val="24"/>
          <w:szCs w:val="24"/>
        </w:rPr>
      </w:pPr>
      <w:r w:rsidRPr="0086320A">
        <w:rPr>
          <w:rFonts w:eastAsia="Times New Roman" w:cs="Times New Roman"/>
          <w:color w:val="000000"/>
          <w:sz w:val="24"/>
          <w:szCs w:val="24"/>
        </w:rPr>
        <w:t>1</w:t>
      </w:r>
      <w:r w:rsidRPr="0086320A">
        <w:rPr>
          <w:rFonts w:eastAsia="Times New Roman" w:cs="Times New Roman"/>
          <w:color w:val="000000"/>
          <w:sz w:val="24"/>
          <w:szCs w:val="24"/>
          <w:lang w:val="vi-VN"/>
        </w:rPr>
        <w:t>0. Đối với các khoản cho vay, tiền gửi của tổ chức tín dụng hỗ trợ tại tổ chức tín dụng</w:t>
      </w:r>
      <w:r w:rsidRPr="0086320A">
        <w:rPr>
          <w:rFonts w:eastAsia="Times New Roman" w:cs="Times New Roman"/>
          <w:color w:val="000000"/>
          <w:sz w:val="24"/>
          <w:szCs w:val="24"/>
        </w:rPr>
        <w:t> đang</w:t>
      </w:r>
      <w:r w:rsidRPr="0086320A">
        <w:rPr>
          <w:rFonts w:eastAsia="Times New Roman" w:cs="Times New Roman"/>
          <w:color w:val="000000"/>
          <w:sz w:val="24"/>
          <w:szCs w:val="24"/>
          <w:lang w:val="vi-VN"/>
        </w:rPr>
        <w:t> được kiểm soát đặc biệt theo quy định tại </w:t>
      </w:r>
      <w:bookmarkStart w:id="1" w:name="dc_1"/>
      <w:r w:rsidRPr="0086320A">
        <w:rPr>
          <w:rFonts w:eastAsia="Times New Roman" w:cs="Times New Roman"/>
          <w:color w:val="000000"/>
          <w:sz w:val="24"/>
          <w:szCs w:val="24"/>
          <w:lang w:val="vi-VN"/>
        </w:rPr>
        <w:t>khoản 9 Điều 148đ Luật Các tổ chức tín dụng</w:t>
      </w:r>
      <w:bookmarkEnd w:id="1"/>
      <w:r w:rsidRPr="0086320A">
        <w:rPr>
          <w:rFonts w:eastAsia="Times New Roman" w:cs="Times New Roman"/>
          <w:color w:val="000000"/>
          <w:sz w:val="24"/>
          <w:szCs w:val="24"/>
          <w:lang w:val="vi-VN"/>
        </w:rPr>
        <w:t> (đã sửa đổi, bổ sung), tổ chức tín dụng hỗ trợ được phân loại vào nhóm nợ đủ tiêu chuẩn và không phải điều chỉnh nhóm nợ theo danh sách khách hàng do CIC cung cấp quy định tại khoản 3 Điều 8 Thông tư này (nếu có).</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11. Đối với khoản mua bán lại trái phiếu Chính phủ, tổ chức tín dụng, chi nhánh ngân hàng nước ngoài phân loại số tiền đã thanh toán để mua như là một khoản cho vay đối với bên bán trong giao dịch mua (giao dịch lần 1) theo quy định của pháp luật về đăng ký, lưu ký, niêm yết, giao dịch và thanh toán giao dịch công cụ nợ của Chính phủ, trái phiếu được Chính phủ bảo lãnh do ngân hàng chính sách phát hành và trái phiếu chính quyền địa phương.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12. Đối với số tiền mua kỳ phiếu, tín phiếu, chứng chỉ tiền gửi do tổ chức tín dụng, chi nhánh ngân hàng nước ngoài khác phát hành, tổ chức tín dụng, chi nhánh ngân hàng nước ngoài phân loại số tiền mua như một khoản cho vay đối với tổ chức tín dụng, chi nhánh ngân hàng nước ngoài phát hành.</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Điều 10. Phân loại nợ và cam kết ngoại bảng theo phương pháp định lượng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1. Tổ chức tín dụng, chi nhánh ngân hàng nước ngoài thực hiện phân loại nợ (trừ các khoản trả thay theo cam kết ngoại bảng) theo 05 nhóm như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Nhóm 1 (Nợ đủ tiêu chuẩn) bao gồm:</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 Khoản nợ trong hạn và được đánh giá là có khả năng thu hồi đầy đủ cả nợ gốc và lãi đúng hạn;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(ii) Khoản nợ quá hạn dưới 10 ngày và được đánh giá là có khả năng thu hồi đầy đủ nợ gốc và lãi bị quá hạn và thu hồi đầy đủ nợ gốc và lãi còn lại đúng thời hạn;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(iii) Khoản nợ được phân loại vào nhóm 1 theo quy định tại khoản 2 Điều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Nhóm 2 (Nợ cần chú ý) bao gồm:</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 Khoản nợ quá hạn đến 90 ngày, trừ khoản nợ quy định tại điểm a (ii) Khoản này, khoản 3 Điều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(ii) Khoản nợ được điều chỉnh kỳ hạn trả nợ lần đầu còn trong hạn, trừ khoản nợ quy định tại điểm b khoản 2, khoản 3 Điều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(iii) Khoản nợ được phân loại vào nhóm 2 theo quy định tại khoản 2</w:t>
      </w:r>
      <w:r w:rsidRPr="0086320A">
        <w:rPr>
          <w:rFonts w:eastAsia="Times New Roman" w:cs="Times New Roman"/>
          <w:color w:val="000000"/>
          <w:sz w:val="24"/>
          <w:szCs w:val="24"/>
        </w:rPr>
        <w:t>, </w:t>
      </w:r>
      <w:r w:rsidRPr="0086320A">
        <w:rPr>
          <w:rFonts w:eastAsia="Times New Roman" w:cs="Times New Roman"/>
          <w:color w:val="000000"/>
          <w:sz w:val="24"/>
          <w:szCs w:val="24"/>
          <w:lang w:val="vi-VN"/>
        </w:rPr>
        <w:t>khoản 3 Điều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lastRenderedPageBreak/>
        <w:t>c) Nhóm 3 (Nợ dưới tiêu chuẩn) bao gồm:</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 Khoản nợ quá hạn từ 91 ngày đến 180 ngày, trừ khoản nợ quy định tại khoản 3 Điều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(ii) Khoản nợ gia hạn nợ lần đầu còn trong hạn, trừ khoản nợ quy định tại điểm b khoản 2, khoản 3 Điều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(iii) Khoản nợ được miễn hoặc giảm lãi do khách hàng không đủ khả năng trả lãi đầy đủ theo thỏa thuận, trừ khoản nợ quy định tại khoản 3 Điều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(iv) Khoản nợ thuộc một trong các trường hợp sau đây chưa thu hồi được trong thời gian dưới 30 ngày kể từ ngày có quyết định thu hồi:</w:t>
      </w:r>
    </w:p>
    <w:p w:rsidR="0086320A" w:rsidRPr="0086320A" w:rsidRDefault="0086320A" w:rsidP="0086320A">
      <w:pPr>
        <w:shd w:val="clear" w:color="auto" w:fill="FFFFFF"/>
        <w:spacing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 Khoản nợ vi phạm quy định tại các </w:t>
      </w:r>
      <w:bookmarkStart w:id="2" w:name="dc_2"/>
      <w:r w:rsidRPr="0086320A">
        <w:rPr>
          <w:rFonts w:eastAsia="Times New Roman" w:cs="Times New Roman"/>
          <w:color w:val="000000"/>
          <w:sz w:val="24"/>
          <w:szCs w:val="24"/>
          <w:lang w:val="vi-VN"/>
        </w:rPr>
        <w:t>khoản 1, 3, 4, 5, 6 Điều 126 Luật Các tổ chức tín dụng</w:t>
      </w:r>
      <w:bookmarkEnd w:id="2"/>
      <w:r w:rsidRPr="0086320A">
        <w:rPr>
          <w:rFonts w:eastAsia="Times New Roman" w:cs="Times New Roman"/>
          <w:color w:val="000000"/>
          <w:sz w:val="24"/>
          <w:szCs w:val="24"/>
          <w:lang w:val="vi-VN"/>
        </w:rPr>
        <w:t> (đã sửa đổi, bổ sung);</w:t>
      </w:r>
    </w:p>
    <w:p w:rsidR="0086320A" w:rsidRPr="0086320A" w:rsidRDefault="0086320A" w:rsidP="0086320A">
      <w:pPr>
        <w:shd w:val="clear" w:color="auto" w:fill="FFFFFF"/>
        <w:spacing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 Khoản nợ vi phạm quy định tại các </w:t>
      </w:r>
      <w:bookmarkStart w:id="3" w:name="dc_3"/>
      <w:r w:rsidRPr="0086320A">
        <w:rPr>
          <w:rFonts w:eastAsia="Times New Roman" w:cs="Times New Roman"/>
          <w:color w:val="000000"/>
          <w:sz w:val="24"/>
          <w:szCs w:val="24"/>
          <w:lang w:val="vi-VN"/>
        </w:rPr>
        <w:t>khoản 1, 2, 3, 4 Điều 127 Luật Các tổ chức tín dụng</w:t>
      </w:r>
      <w:bookmarkEnd w:id="3"/>
      <w:r w:rsidRPr="0086320A">
        <w:rPr>
          <w:rFonts w:eastAsia="Times New Roman" w:cs="Times New Roman"/>
          <w:color w:val="000000"/>
          <w:sz w:val="24"/>
          <w:szCs w:val="24"/>
          <w:lang w:val="vi-VN"/>
        </w:rPr>
        <w:t> (đã sửa đổi, bổ sung);</w:t>
      </w:r>
    </w:p>
    <w:p w:rsidR="0086320A" w:rsidRPr="0086320A" w:rsidRDefault="0086320A" w:rsidP="0086320A">
      <w:pPr>
        <w:shd w:val="clear" w:color="auto" w:fill="FFFFFF"/>
        <w:spacing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 Khoản nợ vi phạm quy định tại các </w:t>
      </w:r>
      <w:bookmarkStart w:id="4" w:name="dc_4"/>
      <w:r w:rsidRPr="0086320A">
        <w:rPr>
          <w:rFonts w:eastAsia="Times New Roman" w:cs="Times New Roman"/>
          <w:color w:val="000000"/>
          <w:sz w:val="24"/>
          <w:szCs w:val="24"/>
          <w:lang w:val="vi-VN"/>
        </w:rPr>
        <w:t>khoản 1, 2, 5 Điều 128 Luật Các tổ chức tín dụng</w:t>
      </w:r>
      <w:bookmarkEnd w:id="4"/>
      <w:r w:rsidRPr="0086320A">
        <w:rPr>
          <w:rFonts w:eastAsia="Times New Roman" w:cs="Times New Roman"/>
          <w:color w:val="000000"/>
          <w:sz w:val="24"/>
          <w:szCs w:val="24"/>
          <w:lang w:val="vi-VN"/>
        </w:rPr>
        <w:t> (đã sửa đổi, bổ sung);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(v) Khoản nợ trong thời hạn thu hồi theo kết luận thanh tra</w:t>
      </w:r>
      <w:r w:rsidRPr="0086320A">
        <w:rPr>
          <w:rFonts w:eastAsia="Times New Roman" w:cs="Times New Roman"/>
          <w:color w:val="000000"/>
          <w:sz w:val="24"/>
          <w:szCs w:val="24"/>
        </w:rPr>
        <w:t>, kiểm tra</w:t>
      </w:r>
      <w:r w:rsidRPr="0086320A">
        <w:rPr>
          <w:rFonts w:eastAsia="Times New Roman" w:cs="Times New Roman"/>
          <w:color w:val="000000"/>
          <w:sz w:val="24"/>
          <w:szCs w:val="24"/>
          <w:lang w:val="vi-VN"/>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(vi) Khoản nợ phải thu hồi theo quyết định thu hồi nợ trước hạn của tổ chức tín dụng, chi nhánh ngân hàng nước ngoài do khách hàng vi phạm thỏa thuận với tổ chức tín dụng, chi nhánh ngân hàng nước ngoài chưa thu hồi được trong thời gian dưới 30 ngày kể từ ngày có quyết định thu hồi</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(vii) Khoản nợ được phân loại vào nhóm 3 theo quy định tại khoản 2</w:t>
      </w:r>
      <w:r w:rsidRPr="0086320A">
        <w:rPr>
          <w:rFonts w:eastAsia="Times New Roman" w:cs="Times New Roman"/>
          <w:color w:val="000000"/>
          <w:sz w:val="24"/>
          <w:szCs w:val="24"/>
        </w:rPr>
        <w:t>, </w:t>
      </w:r>
      <w:r w:rsidRPr="0086320A">
        <w:rPr>
          <w:rFonts w:eastAsia="Times New Roman" w:cs="Times New Roman"/>
          <w:color w:val="000000"/>
          <w:sz w:val="24"/>
          <w:szCs w:val="24"/>
          <w:lang w:val="vi-VN"/>
        </w:rPr>
        <w:t>khoản 3 Điều này</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(viii) Khoản nợ phải phân loại vào nhóm 3 theo quy định tại khoản 4 Điều 8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d) Nhóm 4 (Nợ nghi ngờ) bao gồm:</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 Khoản nợ quá hạn từ 181 ngày đến 360 ngày, trừ khoản nợ quy định tại khoản 3 Điều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(ii) Khoản nợ cơ cấu lại thời hạn trả nợ lần đầu quá hạn đến 90 ngày theo thời hạn trả nợ được cơ cấu lại lần đầu, trừ khoản nợ quy định tại khoản 3 Điều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(iii) Khoản nợ cơ cấu lại thời hạn trả nợ lần thứ hai còn trong hạn</w:t>
      </w:r>
      <w:r w:rsidRPr="0086320A">
        <w:rPr>
          <w:rFonts w:eastAsia="Times New Roman" w:cs="Times New Roman"/>
          <w:color w:val="000000"/>
          <w:sz w:val="24"/>
          <w:szCs w:val="24"/>
        </w:rPr>
        <w:t>, </w:t>
      </w:r>
      <w:r w:rsidRPr="0086320A">
        <w:rPr>
          <w:rFonts w:eastAsia="Times New Roman" w:cs="Times New Roman"/>
          <w:color w:val="000000"/>
          <w:sz w:val="24"/>
          <w:szCs w:val="24"/>
          <w:lang w:val="vi-VN"/>
        </w:rPr>
        <w:t>trừ khoản nợ quy định tại điểm b khoản 2, khoản 3 Điều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(iv) Khoản nợ quy định tại điểm c(iv) khoản 1 Điều này chưa thu hồi được trong thời gian từ 30 ngày đến 60 ngày kể từ ngày có quyết định thu hồi;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(v) Khoản nợ phải thu hồi theo kết luận thanh tra</w:t>
      </w:r>
      <w:r w:rsidRPr="0086320A">
        <w:rPr>
          <w:rFonts w:eastAsia="Times New Roman" w:cs="Times New Roman"/>
          <w:color w:val="000000"/>
          <w:sz w:val="24"/>
          <w:szCs w:val="24"/>
        </w:rPr>
        <w:t>, kiểm tra </w:t>
      </w:r>
      <w:r w:rsidRPr="0086320A">
        <w:rPr>
          <w:rFonts w:eastAsia="Times New Roman" w:cs="Times New Roman"/>
          <w:color w:val="000000"/>
          <w:sz w:val="24"/>
          <w:szCs w:val="24"/>
          <w:lang w:val="vi-VN"/>
        </w:rPr>
        <w:t>nhưng quá thời hạn thu hồi theo kết luận thanh tra</w:t>
      </w:r>
      <w:r w:rsidRPr="0086320A">
        <w:rPr>
          <w:rFonts w:eastAsia="Times New Roman" w:cs="Times New Roman"/>
          <w:color w:val="000000"/>
          <w:sz w:val="24"/>
          <w:szCs w:val="24"/>
        </w:rPr>
        <w:t>, kiểm tra </w:t>
      </w:r>
      <w:r w:rsidRPr="0086320A">
        <w:rPr>
          <w:rFonts w:eastAsia="Times New Roman" w:cs="Times New Roman"/>
          <w:color w:val="000000"/>
          <w:sz w:val="24"/>
          <w:szCs w:val="24"/>
          <w:lang w:val="vi-VN"/>
        </w:rPr>
        <w:t>đến 60 ngày mà chưa thu hồi được;</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(vi) Khoản nợ phải thu hồi theo quyết định thu hồi nợ trước hạn của tổ chức tín dụng, chi nhánh ngân hàng nước ngoài do khách hàng vi phạm thỏa thuận với tổ chức tín dụng, chi nhánh ngân hàng nước ngoài chưa thu hồi được trong thời gian từ 30 ngày đến 60 ngày kể từ ngày có quyết định thu hồi</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(vii) Khoản nợ được phân loại vào nhóm 4 theo quy định tại khoản 2</w:t>
      </w:r>
      <w:r w:rsidRPr="0086320A">
        <w:rPr>
          <w:rFonts w:eastAsia="Times New Roman" w:cs="Times New Roman"/>
          <w:color w:val="000000"/>
          <w:sz w:val="24"/>
          <w:szCs w:val="24"/>
        </w:rPr>
        <w:t>, </w:t>
      </w:r>
      <w:r w:rsidRPr="0086320A">
        <w:rPr>
          <w:rFonts w:eastAsia="Times New Roman" w:cs="Times New Roman"/>
          <w:color w:val="000000"/>
          <w:sz w:val="24"/>
          <w:szCs w:val="24"/>
          <w:lang w:val="vi-VN"/>
        </w:rPr>
        <w:t>khoản 3 Điều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(viii) Khoản nợ phải phân loại vào nhóm 4 theo quy định tại khoản 4 Điều 8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đ) Nhóm 5 (Nợ có khả năng mất vốn) bao gồm:</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lastRenderedPageBreak/>
        <w:t>(i) Khoản nợ quá hạn trên 360 ngày;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(ii) Khoản nợ cơ cấu lại thời hạn trả nợ lần đầu quá hạn từ 91 ngày trở lên theo thời hạn trả nợ được cơ cấu lại lần đầu;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(iii) Khoản nợ cơ cấu lại thời hạn trả nợ lần thứ hai quá hạn theo thời hạn trả nợ được cơ cấu lại lần thứ hai;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(iv) Khoản nợ cơ cấu lại thời hạn trả nợ lần thứ ba trở lên, trừ khoản nợ quy định tại điểm b khoản 2 Điều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333333"/>
          <w:sz w:val="24"/>
          <w:szCs w:val="24"/>
          <w:lang w:val="vi-VN"/>
        </w:rPr>
        <w:t>(</w:t>
      </w:r>
      <w:r w:rsidRPr="0086320A">
        <w:rPr>
          <w:rFonts w:eastAsia="Times New Roman" w:cs="Times New Roman"/>
          <w:color w:val="000000"/>
          <w:sz w:val="24"/>
          <w:szCs w:val="24"/>
          <w:lang w:val="vi-VN"/>
        </w:rPr>
        <w:t>v) Khoản nợ quy định tại điểm c(iv) khoản 1 Điều này chưa thu hồi được trên 60 ngày kể từ ngày có quyết định thu hồi;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(vi) Khoản nợ phải thu hồi theo kết luận thanh tra</w:t>
      </w:r>
      <w:r w:rsidRPr="0086320A">
        <w:rPr>
          <w:rFonts w:eastAsia="Times New Roman" w:cs="Times New Roman"/>
          <w:color w:val="000000"/>
          <w:sz w:val="24"/>
          <w:szCs w:val="24"/>
        </w:rPr>
        <w:t>, kiểm tra </w:t>
      </w:r>
      <w:r w:rsidRPr="0086320A">
        <w:rPr>
          <w:rFonts w:eastAsia="Times New Roman" w:cs="Times New Roman"/>
          <w:color w:val="000000"/>
          <w:sz w:val="24"/>
          <w:szCs w:val="24"/>
          <w:lang w:val="vi-VN"/>
        </w:rPr>
        <w:t>nhưng quá thời hạn thu hồi theo kết luận thanh tra</w:t>
      </w:r>
      <w:r w:rsidRPr="0086320A">
        <w:rPr>
          <w:rFonts w:eastAsia="Times New Roman" w:cs="Times New Roman"/>
          <w:color w:val="000000"/>
          <w:sz w:val="24"/>
          <w:szCs w:val="24"/>
        </w:rPr>
        <w:t>, kiểm tra </w:t>
      </w:r>
      <w:r w:rsidRPr="0086320A">
        <w:rPr>
          <w:rFonts w:eastAsia="Times New Roman" w:cs="Times New Roman"/>
          <w:color w:val="000000"/>
          <w:sz w:val="24"/>
          <w:szCs w:val="24"/>
          <w:lang w:val="vi-VN"/>
        </w:rPr>
        <w:t>trên 60 ngày mà chưa thu hồi được;</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(vii) Khoản nợ phải thu hồi theo quyết định thu hồi nợ trước hạn của tổ chức tín dụng, chi nhánh ngân hàng nước ngoài do khách hàng vi phạm thỏa thuận với tổ chức tín dụng, chi nhánh ngân hàng nước ngoài chưa thu hồi được trên 60 ngày kể từ ngày có quyết định thu hồi</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(viii) Khoản nợ của khách hàng là tổ chức tín dụng </w:t>
      </w:r>
      <w:r w:rsidRPr="0086320A">
        <w:rPr>
          <w:rFonts w:eastAsia="Times New Roman" w:cs="Times New Roman"/>
          <w:color w:val="000000"/>
          <w:sz w:val="24"/>
          <w:szCs w:val="24"/>
        </w:rPr>
        <w:t>đang </w:t>
      </w:r>
      <w:r w:rsidRPr="0086320A">
        <w:rPr>
          <w:rFonts w:eastAsia="Times New Roman" w:cs="Times New Roman"/>
          <w:color w:val="000000"/>
          <w:sz w:val="24"/>
          <w:szCs w:val="24"/>
          <w:lang w:val="vi-VN"/>
        </w:rPr>
        <w:t>được kiểm soát đặc biệt, chi nhánh ngân hàng nước ngoài </w:t>
      </w:r>
      <w:r w:rsidRPr="0086320A">
        <w:rPr>
          <w:rFonts w:eastAsia="Times New Roman" w:cs="Times New Roman"/>
          <w:color w:val="000000"/>
          <w:sz w:val="24"/>
          <w:szCs w:val="24"/>
        </w:rPr>
        <w:t>đang </w:t>
      </w:r>
      <w:r w:rsidRPr="0086320A">
        <w:rPr>
          <w:rFonts w:eastAsia="Times New Roman" w:cs="Times New Roman"/>
          <w:color w:val="000000"/>
          <w:sz w:val="24"/>
          <w:szCs w:val="24"/>
          <w:lang w:val="vi-VN"/>
        </w:rPr>
        <w:t>bị phong tỏa vốn và tài sản;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(ix) Khoản nợ được phân loại vào nhóm 5 theo quy định tại khoản 3 Điều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(x) Khoản nợ phải phân loại vào nhóm 5 theo quy định tại khoản 4 Điều 8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2. Khoản nợ được phân loại vào nhóm nợ có rủi ro thấp hơn trong các trường hợp sau đây: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Đối với khoản nợ quá hạn, tổ chức tín dụng, chi nhánh ngân hàng nước ngoài phân loại lại vào nhóm nợ có rủi ro thấp hơn (kể cả nhóm 1) khi đáp ứng đầy đủ các điều kiện sau đây: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 Khách hàng đã trả đầy đủ phần nợ gốc và lãi bị quá hạn (kể cả lãi áp dụng đối với nợ gốc quá hạn) và nợ gốc và lãi của các kỳ hạn trả nợ tiếp theo trong thời gian tối thiểu 03 (ba) tháng đối với nợ trung</w:t>
      </w:r>
      <w:r w:rsidRPr="0086320A">
        <w:rPr>
          <w:rFonts w:eastAsia="Times New Roman" w:cs="Times New Roman"/>
          <w:color w:val="000000"/>
          <w:sz w:val="24"/>
          <w:szCs w:val="24"/>
        </w:rPr>
        <w:t> hạn, </w:t>
      </w:r>
      <w:r w:rsidRPr="0086320A">
        <w:rPr>
          <w:rFonts w:eastAsia="Times New Roman" w:cs="Times New Roman"/>
          <w:color w:val="000000"/>
          <w:sz w:val="24"/>
          <w:szCs w:val="24"/>
          <w:lang w:val="vi-VN"/>
        </w:rPr>
        <w:t>dài hạn, 01 (một) tháng đối với nợ ngắn hạn, kể từ ngày bắt đầu trả đầy đủ nợ gốc và lãi bị quá hạn;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(ii) Có tài liệu, hồ sơ chứng minh việc khách hàng đã trả nợ;</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(iii) Tổ chức tín dụng, chi nhánh ngân hàng nước ngoài có đủ cơ sở thông tin, tài liệu đánh giá khách hàng có khả năng trả đầy đủ nợ gốc và lãi còn lại đúng thời hạn.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Đối với nợ cơ cấu lại thời hạn trả nợ, tổ chức tín dụng, chi nhánh ngân hàng nước ngoài phân loại lại vào nhóm nợ có rủi ro thấp hơn (kể cả nhóm 1) khi đáp ứng đầy đủ các điều kiện sau đây: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 Khách hàng đã trả đầy đủ nợ gốc và lãi theo thời hạn trả nợ được cơ cấu lại trong thời gian tối thiểu 03</w:t>
      </w:r>
      <w:r w:rsidRPr="0086320A">
        <w:rPr>
          <w:rFonts w:eastAsia="Times New Roman" w:cs="Times New Roman"/>
          <w:color w:val="000000"/>
          <w:sz w:val="24"/>
          <w:szCs w:val="24"/>
        </w:rPr>
        <w:t> (ba)</w:t>
      </w:r>
      <w:r w:rsidRPr="0086320A">
        <w:rPr>
          <w:rFonts w:eastAsia="Times New Roman" w:cs="Times New Roman"/>
          <w:color w:val="000000"/>
          <w:sz w:val="24"/>
          <w:szCs w:val="24"/>
          <w:lang w:val="vi-VN"/>
        </w:rPr>
        <w:t> tháng đối với nợ trung </w:t>
      </w:r>
      <w:r w:rsidRPr="0086320A">
        <w:rPr>
          <w:rFonts w:eastAsia="Times New Roman" w:cs="Times New Roman"/>
          <w:color w:val="000000"/>
          <w:sz w:val="24"/>
          <w:szCs w:val="24"/>
        </w:rPr>
        <w:t>hạn, </w:t>
      </w:r>
      <w:r w:rsidRPr="0086320A">
        <w:rPr>
          <w:rFonts w:eastAsia="Times New Roman" w:cs="Times New Roman"/>
          <w:color w:val="000000"/>
          <w:sz w:val="24"/>
          <w:szCs w:val="24"/>
          <w:lang w:val="vi-VN"/>
        </w:rPr>
        <w:t>dài hạn, 01 (một) tháng đối với nợ ngắn hạn, kể từ ngày bắt đầu trả đầy đủ nợ gốc và lãi theo thời hạn được cơ cấu lại;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(ii) Có tài liệu, hồ sơ chứng minh việc khách hàng đã trả nợ;</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(iii) Tổ chức tín dụng, chi nhánh ngân hàng nước ngoài có đủ cơ sở thông tin, tài liệu để đánh giá khách hàng có khả năng trả đầy đủ nợ gốc và lãi còn lại đúng thời hạn đã được cơ cấu lại.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3. Khoản nợ được phân loại vào nhóm nợ có rủi ro cao hơn trong các trường hợp sau đây: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lastRenderedPageBreak/>
        <w:t>a) Các chỉ tiêu về khả năng sinh lời, khả năng thanh toán, tỷ lệ nợ trên vốn, dòng tiền, khả năng trả nợ của khách hàng suy giảm liên tục qua 03 lần đánh giá, phân loại nợ liên tục;</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Khách hàng không cung cấp đầy đủ, kịp thời và trung thực các thông tin theo yêu cầu của tổ chức tín dụng, chi nhánh ngân hàng nước ngoài để đánh giá khả năng trả nợ của khách hàng;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 Khoản nợ đã được phân loại vào nhóm 2, nhóm 3, nhóm 4 theo quy định tại điểm a, b Khoản này từ 01 (một) năm trở lên nhưng không đủ điều kiện phân loại vào nhóm nợ có rủi ro thấp hơn;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d) Khoản nợ mà hành vi cấp tín dụng bị xử phạt vi phạm hành chính theo quy định của pháp luật.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4. Phân loại cam kết ngoại bảng và khoản trả thay theo cam kết ngoại bảng: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Phân loại cam kết ngoại bảng: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 Phân loại vào nhóm 1 nếu tổ chức tín dụng, chi nhánh ngân hàng nước ngoài đánh giá khách hàng có khả năng thực hiện đầy đủ các nghĩa vụ theo cam kết</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(ii) Phân loại vào nhóm 2 trở lên nếu tổ chức tín dụng, chi nhánh ngân hàng nước ngoài đánh giá khách hàng không có khả năng thực hiện các nghĩa vụ theo cam kết</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(iii) Phân loại vào nhóm 3 trở lên đối với cam kết ngoại bảng thuộc một trong các trường hợp quy định tại điểm c (iv) khoản 1 Điều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Phân loại khoản trả thay theo cam kết ngoại bảng: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 Ngày quá hạn được tính ngay từ ngày tổ chức tín dụng, chi nhánh ngân hàng nước ngoài thực hiện nghĩa vụ theo cam kết</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(ii) Khoản trả thay theo cam kết ngoại bảng được phân loại như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 Phân loại vào nhóm 3 nếu quá hạn dưới 30 ngày;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 Phân loại vào nhóm 4 nếu quá hạn từ 30 ngày đến dưới 90 ngày;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 Phân loại vào nhóm 5 nếu quá hạn từ 90 ngày trở lên.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Trường hợp khoản trả thay phân loại vào nhóm rủi ro thấp hơn nhóm mà cam kết ngoại bảng được trả thay đã phân loại theo quy định tại điểm a (ii), điểm a (iii) Khoản này thì phải chuyển vào nhóm mà cam kết ngoại bảng đó đã phân loại.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Điều 11. Phân loại nợ và cam kết ngoại bảng theo phương pháp định tính</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1. Tổ chức tín dụng, chi nhánh ngân hàng nước ngoài phân loại nợ, cam kết ngoại bảng theo 05 nhóm như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Nhóm 1 (Nợ đủ tiêu chuẩn) bao gồm:</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Các khoản nợ được tổ chức tín dụng, chi nhánh ngân hàng nước ngoài đánh giá là có khả năng thu hồi đầy đủ cả nợ gốc và lãi đúng hạn.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Các cam kết ngoại bảng được tổ chức tín dụng, chi nhánh ngân hàng nước ngoài đánh giá là khách hàng có khả năng thực hiện đầy đủ nghĩa vụ theo cam kết.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Nhóm 2 (Nợ cần chú ý) bao gồm:</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Các khoản nợ được tổ chức tín dụng, chi nhánh ngân hàng nước ngoài đánh giá là có khả năng thu hồi đầy đủ cả nợ gốc và lãi nhưng có dấu hiệu khách hàng suy giảm khả năng trả nợ.</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lastRenderedPageBreak/>
        <w:t>Các cam kết ngoại bảng được tổ chức tín dụng, chi nhánh ngân hàng nước ngoài đánh giá là khách hàng có khả năng thực hiện nghĩa vụ theo cam kết nhưng có dấu hiệu suy giảm khả năng thực hiện cam kết.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 Nhóm 3 (Nợ dưới tiêu chuẩn) bao gồm:</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Các khoản nợ được tổ chức tín dụng, chi nhánh ngân hàng nước ngoài đánh giá là không có khả năng thu hồi nợ gốc và lãi khi đến hạn. Các khoản nợ này được tổ chức tín dụng, chi nhánh ngân hàng nước ngoài đánh giá là có khả năng tổn thất.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Các cam kết ngoại bảng được tổ chức tín dụng, chi nhánh ngân hàng nước ngoài đánh giá là khách hàng không có khả năng thực hiện đầy đủ nghĩa vụ theo cam kết.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Nợ phải phân loại vào nhóm 3 theo quy định tại khoản 4 Điều 8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d) Nhóm 4 (Nợ nghi ngờ) bao gồm:</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Các khoản nợ được tổ chức tín dụng, chi nhánh ngân hàng nước ngoài đánh giá là có khả năng tổn thất cao.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Các cam kết ngoại bảng mà khả năng khách hàng không thực hiện cam kết là rất cao.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Nợ phải phân loại vào nhóm 4 theo quy định tại khoản 4 Điều 8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đ) Nhóm 5 (Nợ có khả năng mất vốn) bao gồm:</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Các khoản nợ được tổ chức tín dụng, chi nhánh ngân hàng nước ngoài đánh giá là không còn khả năng thu hồi, </w:t>
      </w:r>
      <w:r w:rsidRPr="0086320A">
        <w:rPr>
          <w:rFonts w:eastAsia="Times New Roman" w:cs="Times New Roman"/>
          <w:color w:val="000000"/>
          <w:sz w:val="24"/>
          <w:szCs w:val="24"/>
        </w:rPr>
        <w:t>có khả năng </w:t>
      </w:r>
      <w:r w:rsidRPr="0086320A">
        <w:rPr>
          <w:rFonts w:eastAsia="Times New Roman" w:cs="Times New Roman"/>
          <w:color w:val="000000"/>
          <w:sz w:val="24"/>
          <w:szCs w:val="24"/>
          <w:lang w:val="vi-VN"/>
        </w:rPr>
        <w:t>mất vốn.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Các cam kết ngoại bảng mà khách hàng không còn khả năng thực hiện nghĩa vụ cam kết.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Nợ phải phân loại vào nhóm 5 theo quy định tại khoản 4 Điều 8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2. Tổ chức tín dụng, chi nhánh ngân hàng nước ngoài thực hiện phân loại nợ, cam kết ngoại bảng theo quy định tại khoản 1 Điều này phải đáp ứng đầy đủ các yêu cầu sau đây: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Có Hệ thống xếp hạng tín dụng nội bộ phù hợp với hoạt động kinh doanh, đối tượng khách hàng, tính chất rủi ro của khoản nợ và có thời gian thử nghiệm tối thiểu 01</w:t>
      </w:r>
      <w:r w:rsidRPr="0086320A">
        <w:rPr>
          <w:rFonts w:eastAsia="Times New Roman" w:cs="Times New Roman"/>
          <w:color w:val="000000"/>
          <w:sz w:val="24"/>
          <w:szCs w:val="24"/>
        </w:rPr>
        <w:t> (một)</w:t>
      </w:r>
      <w:r w:rsidRPr="0086320A">
        <w:rPr>
          <w:rFonts w:eastAsia="Times New Roman" w:cs="Times New Roman"/>
          <w:color w:val="000000"/>
          <w:sz w:val="24"/>
          <w:szCs w:val="24"/>
          <w:lang w:val="vi-VN"/>
        </w:rPr>
        <w:t> năm;</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Có chính sách dự phòng rủi ro theo quy định tại khoản 3 Điều 6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 Có chính sách quản lý rủi ro tín dụng, mô hình giám sát rủi ro tín dụng, phương pháp xác định, đo lường rủi ro tín dụng (trong đó bao gồm cách thức đánh giá về khả năng trả nợ của khách hàng theo hợp đồng tín dụng, tài sản bảo đảm, khả năng thu hồi nợ) và quản lý nợ;</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d) Phân định rõ ràng trách nhiệm, quyền hạn của Hội đồng quản trị, Hội đồng thành viên, Tổng giám đốc (Giám đốc) trong việc phê duyệt, thực hiện</w:t>
      </w:r>
      <w:r w:rsidRPr="0086320A">
        <w:rPr>
          <w:rFonts w:eastAsia="Times New Roman" w:cs="Times New Roman"/>
          <w:color w:val="000000"/>
          <w:sz w:val="24"/>
          <w:szCs w:val="24"/>
        </w:rPr>
        <w:t> và</w:t>
      </w:r>
      <w:r w:rsidRPr="0086320A">
        <w:rPr>
          <w:rFonts w:eastAsia="Times New Roman" w:cs="Times New Roman"/>
          <w:color w:val="000000"/>
          <w:sz w:val="24"/>
          <w:szCs w:val="24"/>
          <w:lang w:val="vi-VN"/>
        </w:rPr>
        <w:t> kiểm tra thực hiện Hệ thống xếp hạng tín dụng nội bộ</w:t>
      </w:r>
      <w:r w:rsidRPr="0086320A">
        <w:rPr>
          <w:rFonts w:eastAsia="Times New Roman" w:cs="Times New Roman"/>
          <w:color w:val="000000"/>
          <w:sz w:val="24"/>
          <w:szCs w:val="24"/>
        </w:rPr>
        <w:t>, </w:t>
      </w:r>
      <w:r w:rsidRPr="0086320A">
        <w:rPr>
          <w:rFonts w:eastAsia="Times New Roman" w:cs="Times New Roman"/>
          <w:color w:val="000000"/>
          <w:sz w:val="24"/>
          <w:szCs w:val="24"/>
          <w:lang w:val="vi-VN"/>
        </w:rPr>
        <w:t>chính sách dự phòng</w:t>
      </w:r>
      <w:r w:rsidRPr="0086320A">
        <w:rPr>
          <w:rFonts w:eastAsia="Times New Roman" w:cs="Times New Roman"/>
          <w:color w:val="000000"/>
          <w:sz w:val="24"/>
          <w:szCs w:val="24"/>
        </w:rPr>
        <w:t> rủi ro</w:t>
      </w:r>
      <w:r w:rsidRPr="0086320A">
        <w:rPr>
          <w:rFonts w:eastAsia="Times New Roman" w:cs="Times New Roman"/>
          <w:color w:val="000000"/>
          <w:sz w:val="24"/>
          <w:szCs w:val="24"/>
          <w:lang w:val="vi-VN"/>
        </w:rPr>
        <w:t> của tổ chức tín dụng, chi nhánh ngân hàng nước ngoài và tính độc lập của các bộ phận quản lý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3. Tổ chức tín dụng, chi nhánh ngân hàng nước ngoài gửi trực tiếp hoặc </w:t>
      </w:r>
      <w:r w:rsidRPr="0086320A">
        <w:rPr>
          <w:rFonts w:eastAsia="Times New Roman" w:cs="Times New Roman"/>
          <w:color w:val="000000"/>
          <w:sz w:val="24"/>
          <w:szCs w:val="24"/>
        </w:rPr>
        <w:t>qua dịch vụ bưu chính đến trụ sở chính </w:t>
      </w:r>
      <w:r w:rsidRPr="0086320A">
        <w:rPr>
          <w:rFonts w:eastAsia="Times New Roman" w:cs="Times New Roman"/>
          <w:color w:val="000000"/>
          <w:sz w:val="24"/>
          <w:szCs w:val="24"/>
          <w:lang w:val="vi-VN"/>
        </w:rPr>
        <w:t>Ngân hàng Nhà nước</w:t>
      </w:r>
      <w:r w:rsidRPr="0086320A">
        <w:rPr>
          <w:rFonts w:eastAsia="Times New Roman" w:cs="Times New Roman"/>
          <w:color w:val="000000"/>
          <w:sz w:val="24"/>
          <w:szCs w:val="24"/>
        </w:rPr>
        <w:t> (Bộ phận Một cửa)</w:t>
      </w:r>
      <w:r w:rsidRPr="0086320A">
        <w:rPr>
          <w:rFonts w:eastAsia="Times New Roman" w:cs="Times New Roman"/>
          <w:color w:val="000000"/>
          <w:sz w:val="24"/>
          <w:szCs w:val="24"/>
          <w:lang w:val="vi-VN"/>
        </w:rPr>
        <w:t> 01</w:t>
      </w:r>
      <w:r w:rsidRPr="0086320A">
        <w:rPr>
          <w:rFonts w:eastAsia="Times New Roman" w:cs="Times New Roman"/>
          <w:color w:val="000000"/>
          <w:sz w:val="24"/>
          <w:szCs w:val="24"/>
        </w:rPr>
        <w:t> (một)</w:t>
      </w:r>
      <w:r w:rsidRPr="0086320A">
        <w:rPr>
          <w:rFonts w:eastAsia="Times New Roman" w:cs="Times New Roman"/>
          <w:color w:val="000000"/>
          <w:sz w:val="24"/>
          <w:szCs w:val="24"/>
          <w:lang w:val="vi-VN"/>
        </w:rPr>
        <w:t> bộ hồ sơ đề nghị Ngân hàng Nhà nước chấp thuận phân loại nợ theo khoản 1 Điều này và khoản 2 Điều 2 Thông tư này, gồm các văn bản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 xml:space="preserve">a) Văn bản của chi nhánh ngân hàng nước ngoài đề nghị Ngân hàng Nhà nước chấp thuận cho phép áp dụng chính sách dự phòng rủi ro của ngân hàng nước ngoài theo quy định tại khoản 2 </w:t>
      </w:r>
      <w:r w:rsidRPr="0086320A">
        <w:rPr>
          <w:rFonts w:eastAsia="Times New Roman" w:cs="Times New Roman"/>
          <w:color w:val="000000"/>
          <w:sz w:val="24"/>
          <w:szCs w:val="24"/>
          <w:lang w:val="vi-VN"/>
        </w:rPr>
        <w:lastRenderedPageBreak/>
        <w:t>Điều 2 Thông tư này; </w:t>
      </w:r>
      <w:r w:rsidRPr="0086320A">
        <w:rPr>
          <w:rFonts w:eastAsia="Times New Roman" w:cs="Times New Roman"/>
          <w:color w:val="000000"/>
          <w:sz w:val="24"/>
          <w:szCs w:val="24"/>
        </w:rPr>
        <w:t>hoặc </w:t>
      </w:r>
      <w:r w:rsidRPr="0086320A">
        <w:rPr>
          <w:rFonts w:eastAsia="Times New Roman" w:cs="Times New Roman"/>
          <w:color w:val="000000"/>
          <w:sz w:val="24"/>
          <w:szCs w:val="24"/>
          <w:lang w:val="vi-VN"/>
        </w:rPr>
        <w:t>văn bản của tổ chức tín dụng, chi nhánh ngân hàng nước ngoài đề nghị Ngân hàng Nhà nước chấp thuận cho phép thực hiện phân loại nợ, cam kết ngoại bảng theo phương pháp định tính quy định tại khoản 1 Điều này, trong đó phải chứng minh đáp ứng đủ các điều kiện quy định tại khoản 2 Điều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Bản sao chính sách dự phòng rủi ro của ngân hàng nước ngoài đối với trường hợp quy định tại khoản 2 Điều 2 Thông tư này; bản sao hệ thống xếp hạng tín dụng nội bộ, chính sách dự phòng rủi ro, chính sách quản lý rủi ro tín dụng và các dự thảo văn bản hướng dẫn thực hiện phân loại nợ, cam kết ngoại bảng và trích lập dự phòng rủi ro của tổ chức tín dụng, chi nhánh ngân hàng nước ngoài đối với trường hợp quy định tại khoản 2 Điều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4. Trong thời gian 30 (ba mươi) ngày kể từ ngày nhận đủ hồ sơ </w:t>
      </w:r>
      <w:r w:rsidRPr="0086320A">
        <w:rPr>
          <w:rFonts w:eastAsia="Times New Roman" w:cs="Times New Roman"/>
          <w:color w:val="000000"/>
          <w:sz w:val="24"/>
          <w:szCs w:val="24"/>
        </w:rPr>
        <w:t>hợp lệ </w:t>
      </w:r>
      <w:r w:rsidRPr="0086320A">
        <w:rPr>
          <w:rFonts w:eastAsia="Times New Roman" w:cs="Times New Roman"/>
          <w:color w:val="000000"/>
          <w:sz w:val="24"/>
          <w:szCs w:val="24"/>
          <w:lang w:val="vi-VN"/>
        </w:rPr>
        <w:t>theo quy định tại khoản 3 Điều này, Ngân hàng Nhà nước có văn bản chấp thuận cho tổ chức tín dụng, chi nhánh ngân hàng nước ngoài. Trường hợp không chấp thuận, Ngân hàng Nhà nước có văn bản nêu rõ lý do.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5. Hệ thống xếp hạng tín dụng nội bộ, chính sách dự phòng rủi ro, chính sách quản lý rủi ro tín dụng phải được tổ chức tín dụng, chi nhánh ngân hàng nước ngoài đánh giá lại hàng năm theo quy định </w:t>
      </w:r>
      <w:r w:rsidRPr="0086320A">
        <w:rPr>
          <w:rFonts w:eastAsia="Times New Roman" w:cs="Times New Roman"/>
          <w:color w:val="000000"/>
          <w:sz w:val="24"/>
          <w:szCs w:val="24"/>
        </w:rPr>
        <w:t>tại Thông tư này và quy định của</w:t>
      </w:r>
      <w:r w:rsidRPr="0086320A">
        <w:rPr>
          <w:rFonts w:eastAsia="Times New Roman" w:cs="Times New Roman"/>
          <w:color w:val="000000"/>
          <w:sz w:val="24"/>
          <w:szCs w:val="24"/>
          <w:lang w:val="vi-VN"/>
        </w:rPr>
        <w:t> Ngân hàng Nhà nước về hệ thống kiểm soát nội bộ của ngân hàng thương mại, chi nhánh ngân hàng nước ngoài.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6. Tổ chức tín dụng, chi nhánh ngân hàng nước ngoài được chấp thuận thực hiện phân loại nợ, cam kết ngoại bảng theo quy định tại khoản 1 Điều này phải đồng thời thực hiện phân loại nợ và cam kết ngoại bảng theo quy định tại Điều 10 Thông tư này. Trường hợp kết quả phân loại đối với một khoản nợ và cam kết ngoại bảng theo quy định tại Điều 10 Thông tư này và khoản 1 Điều này khác nhau thì khoản nợ, cam kết ngoại bảng phải được phân loại vào nhóm có mức độ rủi ro cao hơn. Thời gian tối thiểu phải thực hiện phân loại nợ và cam kết ngoại bảng đồng thời theo Điều 10 và Điều 11 Thông tư này là 05 (năm) năm kể từ ngày được Ngân hàng Nhà nước</w:t>
      </w:r>
      <w:r w:rsidRPr="0086320A">
        <w:rPr>
          <w:rFonts w:eastAsia="Times New Roman" w:cs="Times New Roman"/>
          <w:color w:val="000000"/>
          <w:sz w:val="24"/>
          <w:szCs w:val="24"/>
        </w:rPr>
        <w:t> được</w:t>
      </w:r>
      <w:r w:rsidRPr="0086320A">
        <w:rPr>
          <w:rFonts w:eastAsia="Times New Roman" w:cs="Times New Roman"/>
          <w:color w:val="000000"/>
          <w:sz w:val="24"/>
          <w:szCs w:val="24"/>
          <w:lang w:val="vi-VN"/>
        </w:rPr>
        <w:t> chấp thuận.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Mục 2</w:t>
      </w:r>
      <w:r w:rsidRPr="0086320A">
        <w:rPr>
          <w:rFonts w:eastAsia="Times New Roman" w:cs="Times New Roman"/>
          <w:b/>
          <w:bCs/>
          <w:color w:val="000000"/>
          <w:sz w:val="24"/>
          <w:szCs w:val="24"/>
        </w:rPr>
        <w:t>. </w:t>
      </w:r>
      <w:r w:rsidRPr="0086320A">
        <w:rPr>
          <w:rFonts w:eastAsia="Times New Roman" w:cs="Times New Roman"/>
          <w:b/>
          <w:bCs/>
          <w:color w:val="000000"/>
          <w:sz w:val="24"/>
          <w:szCs w:val="24"/>
          <w:lang w:val="vi-VN"/>
        </w:rPr>
        <w:t>TRÍCH LẬP DỰ PHÒNG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Điều 12. Mức trích lập dự phòng cụ thể</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1. Số tiền dự phòng cụ thể phải trích đối với từng khách hàng được tính theo công thức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noProof/>
          <w:color w:val="000000"/>
          <w:sz w:val="24"/>
          <w:szCs w:val="24"/>
        </w:rPr>
        <mc:AlternateContent>
          <mc:Choice Requires="wps">
            <w:drawing>
              <wp:inline distT="0" distB="0" distL="0" distR="0" wp14:anchorId="3FC490C4" wp14:editId="72F276E8">
                <wp:extent cx="561975" cy="438150"/>
                <wp:effectExtent l="0" t="0" r="0" b="0"/>
                <wp:docPr id="2" name="Rectangle 2" descr="https://thuvienphapluat.vn/doc2htm/00483459_files/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9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thuvienphapluat.vn/doc2htm/00483459_files/image001.png" style="width:44.2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" filled="f" stroked="f">
                <o:lock v:ext="edit" aspectratio="t"/>
                <w10:anchorlock/>
              </v:rect>
            </w:pict>
          </mc:Fallback>
        </mc:AlternateConten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Trong đó:</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 R: Tổng số tiền dự phòng cụ thể phải trích của từng khách hàng;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 </w:t>
      </w:r>
      <w:r w:rsidRPr="0086320A">
        <w:rPr>
          <w:rFonts w:eastAsia="Times New Roman" w:cs="Times New Roman"/>
          <w:noProof/>
          <w:color w:val="000000"/>
          <w:sz w:val="24"/>
          <w:szCs w:val="24"/>
        </w:rPr>
        <mc:AlternateContent>
          <mc:Choice Requires="wps">
            <w:drawing>
              <wp:inline distT="0" distB="0" distL="0" distR="0" wp14:anchorId="5AC89BF7" wp14:editId="5D142BF8">
                <wp:extent cx="304800" cy="390525"/>
                <wp:effectExtent l="0" t="0" r="0" b="0"/>
                <wp:docPr id="1" name="Rectangle 1" descr="https://thuvienphapluat.vn/doc2htm/00483459_files/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thuvienphapluat.vn/doc2htm/00483459_files/image002.png" style="width:24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" filled="f" stroked="f">
                <o:lock v:ext="edit" aspectratio="t"/>
                <w10:anchorlock/>
              </v:rect>
            </w:pict>
          </mc:Fallback>
        </mc:AlternateContent>
      </w:r>
      <w:r w:rsidRPr="0086320A">
        <w:rPr>
          <w:rFonts w:eastAsia="Times New Roman" w:cs="Times New Roman"/>
          <w:color w:val="000000"/>
          <w:sz w:val="24"/>
          <w:szCs w:val="24"/>
          <w:lang w:val="vi-VN"/>
        </w:rPr>
        <w:t>: là tổng số tiền dự phòng cụ thể của khách hàng từ số dư nợ thứ 1 đến thứ 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Ri: là số tiền dự phòng cụ thể phải trích của khách hàng đối với số dư nợ gốc của khoản nợ thứ i. Ri được xác định theo công thức:</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Ri = (Ai - Ci) x r</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Trong đó:</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Ai:</w:t>
      </w:r>
      <w:r w:rsidRPr="0086320A">
        <w:rPr>
          <w:rFonts w:eastAsia="Times New Roman" w:cs="Times New Roman"/>
          <w:color w:val="000000"/>
          <w:sz w:val="24"/>
          <w:szCs w:val="24"/>
          <w:lang w:val="vi-VN"/>
        </w:rPr>
        <w:t> Số dư nợ gốc thứ i</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lastRenderedPageBreak/>
        <w:t>Ci</w:t>
      </w:r>
      <w:r w:rsidRPr="0086320A">
        <w:rPr>
          <w:rFonts w:eastAsia="Times New Roman" w:cs="Times New Roman"/>
          <w:color w:val="000000"/>
          <w:sz w:val="24"/>
          <w:szCs w:val="24"/>
          <w:lang w:val="vi-VN"/>
        </w:rPr>
        <w:t>: Giá trị khấu trừ của tài sản bảo đảm, tài sản cho thuê tài chính, công cụ chuyển nhượng, giấy tờ có giá khác trong hoạt động chiết khấu, mua bán lại trái phiếu Chính phủ (sau đây gọi chung là tài sản bảo đảm) của khoản nợ thứ i</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r</w:t>
      </w:r>
      <w:r w:rsidRPr="0086320A">
        <w:rPr>
          <w:rFonts w:eastAsia="Times New Roman" w:cs="Times New Roman"/>
          <w:color w:val="000000"/>
          <w:sz w:val="24"/>
          <w:szCs w:val="24"/>
          <w:lang w:val="vi-VN"/>
        </w:rPr>
        <w:t>: Tỷ lệ trích lập dự phòng cụ thể theo nhóm được quy định tại khoản 2 Điều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Trường hợp Ci &gt; Ai thì Ri được tính bằng 0</w:t>
      </w:r>
      <w:r w:rsidRPr="0086320A">
        <w:rPr>
          <w:rFonts w:eastAsia="Times New Roman" w:cs="Times New Roman"/>
          <w:color w:val="000000"/>
          <w:sz w:val="24"/>
          <w:szCs w:val="24"/>
        </w:rPr>
        <w:t> (không)</w:t>
      </w:r>
      <w:r w:rsidRPr="0086320A">
        <w:rPr>
          <w:rFonts w:eastAsia="Times New Roman" w:cs="Times New Roman"/>
          <w:color w:val="000000"/>
          <w:sz w:val="24"/>
          <w:szCs w:val="24"/>
          <w:lang w:val="vi-VN"/>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2. Tỷ lệ trích lập dự phòng cụ thể đối với từng nhóm nợ như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Nhóm 1: 0%;</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Nhóm 2: 5%;</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 Nhóm 3: 20%;</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d) Nhóm 4: 50%;</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đ) Nhóm 5: 100%.</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3. Tài sản bảo đảm để khấu trừ khi tính số tiền dự phòng cụ thể (R) quy định tại khoản 1 Điều này phải đáp ứng các điều kiện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Tổ chức tín dụng, chi nhánh ngân hàng nước ngoài có quyền xử lý tài sản bảo đảm theo hợp đồng bảo đảm và theo quy định của pháp luật khi khách hàng không thực hiện nghĩa vụ của mình theo thỏa thuận;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Thời gian xử lý tài sản bảo đảm theo dự kiến không quá 01 (một) năm đối với tài sản bảo đảm không phải là bất động sản và không quá 02 (hai) năm đối với tài sản bảo đảm là bất động sản, kể từ khi tổ chức tín dụng, chi nhánh ngân hàng nước ngoài có quyền thực hiện xử lý tài sản bảo đảm;</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 Tài sản bảo đảm phải </w:t>
      </w:r>
      <w:r w:rsidRPr="0086320A">
        <w:rPr>
          <w:rFonts w:eastAsia="Times New Roman" w:cs="Times New Roman"/>
          <w:color w:val="000000"/>
          <w:sz w:val="24"/>
          <w:szCs w:val="24"/>
        </w:rPr>
        <w:t>tuân thủ</w:t>
      </w:r>
      <w:r w:rsidRPr="0086320A">
        <w:rPr>
          <w:rFonts w:eastAsia="Times New Roman" w:cs="Times New Roman"/>
          <w:color w:val="000000"/>
          <w:sz w:val="24"/>
          <w:szCs w:val="24"/>
          <w:lang w:val="vi-VN"/>
        </w:rPr>
        <w:t> quy định của pháp luật về giao dịch bảo đảm và pháp luật khác có liên quan;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d) Trường hợp tài sản bảo đảm không đáp ứng các điều kiện quy định tại điểm a, b, c </w:t>
      </w:r>
      <w:r w:rsidRPr="0086320A">
        <w:rPr>
          <w:rFonts w:eastAsia="Times New Roman" w:cs="Times New Roman"/>
          <w:color w:val="000000"/>
          <w:sz w:val="24"/>
          <w:szCs w:val="24"/>
        </w:rPr>
        <w:t>Khoản</w:t>
      </w:r>
      <w:r w:rsidRPr="0086320A">
        <w:rPr>
          <w:rFonts w:eastAsia="Times New Roman" w:cs="Times New Roman"/>
          <w:color w:val="000000"/>
          <w:sz w:val="24"/>
          <w:szCs w:val="24"/>
          <w:lang w:val="vi-VN"/>
        </w:rPr>
        <w:t> này thì giá trị khấu trừ của tài sản bảo đảm đó phải coi bằng</w:t>
      </w:r>
      <w:r w:rsidRPr="0086320A">
        <w:rPr>
          <w:rFonts w:eastAsia="Times New Roman" w:cs="Times New Roman"/>
          <w:color w:val="000000"/>
          <w:sz w:val="24"/>
          <w:szCs w:val="24"/>
        </w:rPr>
        <w:t> 0</w:t>
      </w:r>
      <w:r w:rsidRPr="0086320A">
        <w:rPr>
          <w:rFonts w:eastAsia="Times New Roman" w:cs="Times New Roman"/>
          <w:color w:val="000000"/>
          <w:sz w:val="24"/>
          <w:szCs w:val="24"/>
          <w:lang w:val="vi-VN"/>
        </w:rPr>
        <w:t> </w:t>
      </w:r>
      <w:r w:rsidRPr="0086320A">
        <w:rPr>
          <w:rFonts w:eastAsia="Times New Roman" w:cs="Times New Roman"/>
          <w:color w:val="000000"/>
          <w:sz w:val="24"/>
          <w:szCs w:val="24"/>
        </w:rPr>
        <w:t>(</w:t>
      </w:r>
      <w:r w:rsidRPr="0086320A">
        <w:rPr>
          <w:rFonts w:eastAsia="Times New Roman" w:cs="Times New Roman"/>
          <w:color w:val="000000"/>
          <w:sz w:val="24"/>
          <w:szCs w:val="24"/>
          <w:lang w:val="vi-VN"/>
        </w:rPr>
        <w:t>không</w:t>
      </w:r>
      <w:r w:rsidRPr="0086320A">
        <w:rPr>
          <w:rFonts w:eastAsia="Times New Roman" w:cs="Times New Roman"/>
          <w:color w:val="000000"/>
          <w:sz w:val="24"/>
          <w:szCs w:val="24"/>
        </w:rPr>
        <w:t>)</w:t>
      </w:r>
      <w:r w:rsidRPr="0086320A">
        <w:rPr>
          <w:rFonts w:eastAsia="Times New Roman" w:cs="Times New Roman"/>
          <w:color w:val="000000"/>
          <w:sz w:val="24"/>
          <w:szCs w:val="24"/>
          <w:lang w:val="vi-VN"/>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4. Giá trị khấu trừ của tài sản bảo đảm được xác định bằng tích số giữa giá trị tài sản bảo đảm quy định tại khoản 5 Điều này với tỷ lệ khấu trừ đối với từng loại tài sản bảo đảm quy định tại khoản 6 Điều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Tổ chức tín dụng, chi nhánh ngân hàng nước ngoài tự xác định tỷ lệ khấu trừ đối với từng loại tài sản bảo đảm trên cơ sở đánh giá khả năng thu hồi khi xử lý tài sản bảo đảm đó nhưng không được vượt quá tỷ lệ khấu trừ tối đa đối với từng loại tài sản bảo đảm quy định tại khoản 6 Điều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5. Giá trị tài sản bảo đảm để tính khấu trừ khi trích lập dự phòng rủi ro được xác định như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Vàng miếng: Giá mua vào tại trụ sở chính của doanh nghiệp, tổ chức tín dụng sở hữu nhãn hiệu vàng miếng tại thời điểm cuối ngày của ngày có giao dịch trước ngày trích lập dự phòng cụ thể</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Chứng khoán đã niêm yết (bao gồm cả cổ phiếu, chứng chỉ quỹ, chứng khoán phái sinh, chứng quyền có bảo</w:t>
      </w:r>
      <w:r w:rsidRPr="0086320A">
        <w:rPr>
          <w:rFonts w:eastAsia="Times New Roman" w:cs="Times New Roman"/>
          <w:color w:val="000000"/>
          <w:sz w:val="24"/>
          <w:szCs w:val="24"/>
        </w:rPr>
        <w:t> đảm</w:t>
      </w:r>
      <w:r w:rsidRPr="0086320A">
        <w:rPr>
          <w:rFonts w:eastAsia="Times New Roman" w:cs="Times New Roman"/>
          <w:color w:val="000000"/>
          <w:sz w:val="24"/>
          <w:szCs w:val="24"/>
          <w:lang w:val="vi-VN"/>
        </w:rPr>
        <w:t> đã niêm yết): Giá đóng cửa tại ngày gần nhất có giao dịch trước ngày trích lập dự phòng cụ thể. Trường hợp chứng khoán đã niêm yết trên thị trường mà không có giao dịch trong vòng 30</w:t>
      </w:r>
      <w:r w:rsidRPr="0086320A">
        <w:rPr>
          <w:rFonts w:eastAsia="Times New Roman" w:cs="Times New Roman"/>
          <w:color w:val="000000"/>
          <w:sz w:val="24"/>
          <w:szCs w:val="24"/>
        </w:rPr>
        <w:t> (ba mươi)</w:t>
      </w:r>
      <w:r w:rsidRPr="0086320A">
        <w:rPr>
          <w:rFonts w:eastAsia="Times New Roman" w:cs="Times New Roman"/>
          <w:color w:val="000000"/>
          <w:sz w:val="24"/>
          <w:szCs w:val="24"/>
          <w:lang w:val="vi-VN"/>
        </w:rPr>
        <w:t xml:space="preserve"> ngày trước ngày trích lập dự phòng và trường hợp tại ngày </w:t>
      </w:r>
      <w:r w:rsidRPr="0086320A">
        <w:rPr>
          <w:rFonts w:eastAsia="Times New Roman" w:cs="Times New Roman"/>
          <w:color w:val="000000"/>
          <w:sz w:val="24"/>
          <w:szCs w:val="24"/>
          <w:lang w:val="vi-VN"/>
        </w:rPr>
        <w:lastRenderedPageBreak/>
        <w:t>trích lập dự phòng, chứng khoán bị hủy niêm yết hoặc bị đình chỉ giao dịch hoặc bị ngừng giao dịch, thì tổ chức tín dụng, chi nhánh ngân hàng</w:t>
      </w:r>
      <w:r w:rsidRPr="0086320A">
        <w:rPr>
          <w:rFonts w:eastAsia="Times New Roman" w:cs="Times New Roman"/>
          <w:color w:val="000000"/>
          <w:sz w:val="24"/>
          <w:szCs w:val="24"/>
        </w:rPr>
        <w:t> nước ngoài</w:t>
      </w:r>
      <w:r w:rsidRPr="0086320A">
        <w:rPr>
          <w:rFonts w:eastAsia="Times New Roman" w:cs="Times New Roman"/>
          <w:color w:val="000000"/>
          <w:sz w:val="24"/>
          <w:szCs w:val="24"/>
          <w:lang w:val="vi-VN"/>
        </w:rPr>
        <w:t> xác định giá trị tài sản bảo đảm theo quy định tại điểm e Khoản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 Cổ phiếu đã đăng ký giao dịch trên hệ thống giao dịch Upcom: Giá tham chiếu tại ngày giao dịch liền kề gần nhất trước ngày trích lập dự phòng rủi ro do Sở Giao dịch chứng khoán công bố. Trường hợp cổ phiếu của công ty cổ phần đã đăng ký giao dịch trên hệ thống giao dịch Upcom mà không có giao dịch trong vòng 30</w:t>
      </w:r>
      <w:r w:rsidRPr="0086320A">
        <w:rPr>
          <w:rFonts w:eastAsia="Times New Roman" w:cs="Times New Roman"/>
          <w:color w:val="000000"/>
          <w:sz w:val="24"/>
          <w:szCs w:val="24"/>
        </w:rPr>
        <w:t> (ba mươi)</w:t>
      </w:r>
      <w:r w:rsidRPr="0086320A">
        <w:rPr>
          <w:rFonts w:eastAsia="Times New Roman" w:cs="Times New Roman"/>
          <w:color w:val="000000"/>
          <w:sz w:val="24"/>
          <w:szCs w:val="24"/>
          <w:lang w:val="vi-VN"/>
        </w:rPr>
        <w:t> ngày trước ngày trích lập dự phòng cụ thể và trường hợp tại ngày trích lập dự phòng, cổ phiếu bị hủy niêm yết hoặc bị đình chỉ giao dịch hoặc bị ngừng giao dịch, thì tổ chức tín dụng, chi nhánh ngân hàng</w:t>
      </w:r>
      <w:r w:rsidRPr="0086320A">
        <w:rPr>
          <w:rFonts w:eastAsia="Times New Roman" w:cs="Times New Roman"/>
          <w:color w:val="000000"/>
          <w:sz w:val="24"/>
          <w:szCs w:val="24"/>
        </w:rPr>
        <w:t> nước ngoài</w:t>
      </w:r>
      <w:r w:rsidRPr="0086320A">
        <w:rPr>
          <w:rFonts w:eastAsia="Times New Roman" w:cs="Times New Roman"/>
          <w:color w:val="000000"/>
          <w:sz w:val="24"/>
          <w:szCs w:val="24"/>
          <w:lang w:val="vi-VN"/>
        </w:rPr>
        <w:t> xác định giá trị tài sản bảo đảm theo quy định tại điểm e Khoản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d) Trái phiếu Chính phủ được niêm yết trên Sở giao dịch chứng khoán: Giá bình quân các mức giá giao dịch trong phiên chào giá cam kết chắc chắn theo quy định của Chính phủ về phát hành, đăng ký, lưu ký, niêm yết và giao dịch công cụ nợ của Chính phủ trên thị trường chứng khoán; các văn bản hướng dẫn của Bộ Tài chính và các văn bản sửa đổi</w:t>
      </w:r>
      <w:r w:rsidRPr="0086320A">
        <w:rPr>
          <w:rFonts w:eastAsia="Times New Roman" w:cs="Times New Roman"/>
          <w:color w:val="000000"/>
          <w:sz w:val="24"/>
          <w:szCs w:val="24"/>
        </w:rPr>
        <w:t>,</w:t>
      </w:r>
      <w:r w:rsidRPr="0086320A">
        <w:rPr>
          <w:rFonts w:eastAsia="Times New Roman" w:cs="Times New Roman"/>
          <w:color w:val="000000"/>
          <w:sz w:val="24"/>
          <w:szCs w:val="24"/>
          <w:lang w:val="vi-VN"/>
        </w:rPr>
        <w:t> bổ sung hoặc thay thế </w:t>
      </w:r>
      <w:r w:rsidRPr="0086320A">
        <w:rPr>
          <w:rFonts w:eastAsia="Times New Roman" w:cs="Times New Roman"/>
          <w:color w:val="000000"/>
          <w:sz w:val="24"/>
          <w:szCs w:val="24"/>
        </w:rPr>
        <w:t>(</w:t>
      </w:r>
      <w:r w:rsidRPr="0086320A">
        <w:rPr>
          <w:rFonts w:eastAsia="Times New Roman" w:cs="Times New Roman"/>
          <w:color w:val="000000"/>
          <w:sz w:val="24"/>
          <w:szCs w:val="24"/>
          <w:lang w:val="vi-VN"/>
        </w:rPr>
        <w:t>nếu có</w:t>
      </w:r>
      <w:r w:rsidRPr="0086320A">
        <w:rPr>
          <w:rFonts w:eastAsia="Times New Roman" w:cs="Times New Roman"/>
          <w:color w:val="000000"/>
          <w:sz w:val="24"/>
          <w:szCs w:val="24"/>
        </w:rPr>
        <w:t>)</w:t>
      </w:r>
      <w:r w:rsidRPr="0086320A">
        <w:rPr>
          <w:rFonts w:eastAsia="Times New Roman" w:cs="Times New Roman"/>
          <w:color w:val="000000"/>
          <w:sz w:val="24"/>
          <w:szCs w:val="24"/>
          <w:lang w:val="vi-VN"/>
        </w:rPr>
        <w:t>. Trường hợp không có mức giá giao dịch</w:t>
      </w:r>
      <w:r w:rsidRPr="0086320A">
        <w:rPr>
          <w:rFonts w:eastAsia="Times New Roman" w:cs="Times New Roman"/>
          <w:color w:val="000000"/>
          <w:sz w:val="24"/>
          <w:szCs w:val="24"/>
        </w:rPr>
        <w:t> trong phiên chào giá cam kết chắc chắn</w:t>
      </w:r>
      <w:r w:rsidRPr="0086320A">
        <w:rPr>
          <w:rFonts w:eastAsia="Times New Roman" w:cs="Times New Roman"/>
          <w:color w:val="000000"/>
          <w:sz w:val="24"/>
          <w:szCs w:val="24"/>
          <w:lang w:val="vi-VN"/>
        </w:rPr>
        <w:t> nêu trên, giá trái phiếu </w:t>
      </w:r>
      <w:r w:rsidRPr="0086320A">
        <w:rPr>
          <w:rFonts w:eastAsia="Times New Roman" w:cs="Times New Roman"/>
          <w:color w:val="000000"/>
          <w:sz w:val="24"/>
          <w:szCs w:val="24"/>
        </w:rPr>
        <w:t>để tính khấu trừ</w:t>
      </w:r>
      <w:r w:rsidRPr="0086320A">
        <w:rPr>
          <w:rFonts w:eastAsia="Times New Roman" w:cs="Times New Roman"/>
          <w:color w:val="000000"/>
          <w:sz w:val="24"/>
          <w:szCs w:val="24"/>
          <w:lang w:val="vi-VN"/>
        </w:rPr>
        <w:t> là bình quân các mức giá giao dịch trên thị trường thứ cấp trong vòng 10</w:t>
      </w:r>
      <w:r w:rsidRPr="0086320A">
        <w:rPr>
          <w:rFonts w:eastAsia="Times New Roman" w:cs="Times New Roman"/>
          <w:color w:val="000000"/>
          <w:sz w:val="24"/>
          <w:szCs w:val="24"/>
        </w:rPr>
        <w:t> (mười)</w:t>
      </w:r>
      <w:r w:rsidRPr="0086320A">
        <w:rPr>
          <w:rFonts w:eastAsia="Times New Roman" w:cs="Times New Roman"/>
          <w:color w:val="000000"/>
          <w:sz w:val="24"/>
          <w:szCs w:val="24"/>
          <w:lang w:val="vi-VN"/>
        </w:rPr>
        <w:t> ngày làm việc gần nhất tính đến thời điểm trích lập dự phòng rủi ro. Trường hợp không có giao dịch trong vòng 10 </w:t>
      </w:r>
      <w:r w:rsidRPr="0086320A">
        <w:rPr>
          <w:rFonts w:eastAsia="Times New Roman" w:cs="Times New Roman"/>
          <w:color w:val="000000"/>
          <w:sz w:val="24"/>
          <w:szCs w:val="24"/>
        </w:rPr>
        <w:t>(mười) </w:t>
      </w:r>
      <w:r w:rsidRPr="0086320A">
        <w:rPr>
          <w:rFonts w:eastAsia="Times New Roman" w:cs="Times New Roman"/>
          <w:color w:val="000000"/>
          <w:sz w:val="24"/>
          <w:szCs w:val="24"/>
          <w:lang w:val="vi-VN"/>
        </w:rPr>
        <w:t>ngày làm việc gần nhất tính đến thời điểm trích lập dự phòng rủi ro thì tổ chức tín dụng, chi nhánh ngân hàng </w:t>
      </w:r>
      <w:r w:rsidRPr="0086320A">
        <w:rPr>
          <w:rFonts w:eastAsia="Times New Roman" w:cs="Times New Roman"/>
          <w:color w:val="000000"/>
          <w:sz w:val="24"/>
          <w:szCs w:val="24"/>
        </w:rPr>
        <w:t>nước ngoài </w:t>
      </w:r>
      <w:r w:rsidRPr="0086320A">
        <w:rPr>
          <w:rFonts w:eastAsia="Times New Roman" w:cs="Times New Roman"/>
          <w:color w:val="000000"/>
          <w:sz w:val="24"/>
          <w:szCs w:val="24"/>
          <w:lang w:val="vi-VN"/>
        </w:rPr>
        <w:t>xác định giá trị tài sản bảo đảm</w:t>
      </w:r>
      <w:r w:rsidRPr="0086320A">
        <w:rPr>
          <w:rFonts w:eastAsia="Times New Roman" w:cs="Times New Roman"/>
          <w:color w:val="000000"/>
          <w:sz w:val="24"/>
          <w:szCs w:val="24"/>
        </w:rPr>
        <w:t> theo mệnh giá</w:t>
      </w:r>
      <w:r w:rsidRPr="0086320A">
        <w:rPr>
          <w:rFonts w:eastAsia="Times New Roman" w:cs="Times New Roman"/>
          <w:color w:val="000000"/>
          <w:sz w:val="24"/>
          <w:szCs w:val="24"/>
          <w:lang w:val="vi-VN"/>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đ) Trái phiếu chính quyền địa phương, trái phiếu Chính phủ bảo lãnh và trái phiếu doanh nghiệp (kể cả tổ chức tín dụng) đã niêm yết, đăng ký giao dịch: Giá bình quân các mức giá giao dịch trên thị trường thứ cấp trong vòng 10 </w:t>
      </w:r>
      <w:r w:rsidRPr="0086320A">
        <w:rPr>
          <w:rFonts w:eastAsia="Times New Roman" w:cs="Times New Roman"/>
          <w:color w:val="000000"/>
          <w:sz w:val="24"/>
          <w:szCs w:val="24"/>
        </w:rPr>
        <w:t>(mười) </w:t>
      </w:r>
      <w:r w:rsidRPr="0086320A">
        <w:rPr>
          <w:rFonts w:eastAsia="Times New Roman" w:cs="Times New Roman"/>
          <w:color w:val="000000"/>
          <w:sz w:val="24"/>
          <w:szCs w:val="24"/>
          <w:lang w:val="vi-VN"/>
        </w:rPr>
        <w:t>ngày làm việc gần nhất trước ngày trích lập dự phòng rủi ro do Sở Giao dịch chứng khoán công bố. Trường hợp không có giao dịch trong vòng 10 </w:t>
      </w:r>
      <w:r w:rsidRPr="0086320A">
        <w:rPr>
          <w:rFonts w:eastAsia="Times New Roman" w:cs="Times New Roman"/>
          <w:color w:val="000000"/>
          <w:sz w:val="24"/>
          <w:szCs w:val="24"/>
        </w:rPr>
        <w:t>(mười) </w:t>
      </w:r>
      <w:r w:rsidRPr="0086320A">
        <w:rPr>
          <w:rFonts w:eastAsia="Times New Roman" w:cs="Times New Roman"/>
          <w:color w:val="000000"/>
          <w:sz w:val="24"/>
          <w:szCs w:val="24"/>
          <w:lang w:val="vi-VN"/>
        </w:rPr>
        <w:t>ngày tính đến ngày trích lập dự phòng cụ thể thì tổ chức tín dụng, chi nhánh ngân hàng </w:t>
      </w:r>
      <w:r w:rsidRPr="0086320A">
        <w:rPr>
          <w:rFonts w:eastAsia="Times New Roman" w:cs="Times New Roman"/>
          <w:color w:val="000000"/>
          <w:sz w:val="24"/>
          <w:szCs w:val="24"/>
        </w:rPr>
        <w:t>nước ngoài </w:t>
      </w:r>
      <w:r w:rsidRPr="0086320A">
        <w:rPr>
          <w:rFonts w:eastAsia="Times New Roman" w:cs="Times New Roman"/>
          <w:color w:val="000000"/>
          <w:sz w:val="24"/>
          <w:szCs w:val="24"/>
          <w:lang w:val="vi-VN"/>
        </w:rPr>
        <w:t>xác định giá trị tài sản bảo đảm theo mệnh giá;</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e) Chứng khoán chưa được niêm yết trên Sở giao dịch chứng khoán, kỳ phiếu, tín phiếu, chứng chỉ tiền gửi do doanh nghiệp (kể cả tổ chức tín dụng, chi nhánh ngân hàng nước ngoài) phát hành: tính theo mệnh giá.</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Trường hợp tại thời điểm trích lập dự phòng cụ thể</w:t>
      </w:r>
      <w:r w:rsidRPr="0086320A">
        <w:rPr>
          <w:rFonts w:eastAsia="Times New Roman" w:cs="Times New Roman"/>
          <w:color w:val="000000"/>
          <w:sz w:val="24"/>
          <w:szCs w:val="24"/>
        </w:rPr>
        <w:t>,</w:t>
      </w:r>
      <w:r w:rsidRPr="0086320A">
        <w:rPr>
          <w:rFonts w:eastAsia="Times New Roman" w:cs="Times New Roman"/>
          <w:color w:val="000000"/>
          <w:sz w:val="24"/>
          <w:szCs w:val="24"/>
          <w:lang w:val="vi-VN"/>
        </w:rPr>
        <w:t> giá trị vốn chủ sở hữu thấp hơn giá trị vốn đầu tư thực tế của các chủ sở hữu ở tổ chức phát hành thì giá trị tài sản bảo đảm được xác định như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Mệnh giá chứng khoán, giấy tờ có giá nhân (x)</w:t>
      </w:r>
      <w:r w:rsidRPr="0086320A">
        <w:rPr>
          <w:rFonts w:eastAsia="Times New Roman" w:cs="Times New Roman"/>
          <w:color w:val="000000"/>
          <w:sz w:val="24"/>
          <w:szCs w:val="24"/>
        </w:rPr>
        <w:t> với</w:t>
      </w:r>
      <w:r w:rsidRPr="0086320A">
        <w:rPr>
          <w:rFonts w:eastAsia="Times New Roman" w:cs="Times New Roman"/>
          <w:color w:val="000000"/>
          <w:sz w:val="24"/>
          <w:szCs w:val="24"/>
          <w:lang w:val="vi-VN"/>
        </w:rPr>
        <w:t> vốn chủ sở hữu của tổ chức phát hành chia (:)</w:t>
      </w:r>
      <w:r w:rsidRPr="0086320A">
        <w:rPr>
          <w:rFonts w:eastAsia="Times New Roman" w:cs="Times New Roman"/>
          <w:color w:val="000000"/>
          <w:sz w:val="24"/>
          <w:szCs w:val="24"/>
        </w:rPr>
        <w:t> cho</w:t>
      </w:r>
      <w:r w:rsidRPr="0086320A">
        <w:rPr>
          <w:rFonts w:eastAsia="Times New Roman" w:cs="Times New Roman"/>
          <w:color w:val="000000"/>
          <w:sz w:val="24"/>
          <w:szCs w:val="24"/>
          <w:lang w:val="vi-VN"/>
        </w:rPr>
        <w:t> vốn đầu tư thực tế của các chủ sở hữu ở tổ chức phát hành.</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Trong đó: Vốn đầu tư thực tế của các chủ sở hữu ở tổ chức phát hành và vốn chủ sở hữu của tổ chức phát hành được xác định trên Bảng cân đối kế toán kỳ gần nhất trước ngày trích lập dự phòng cụ thể theo quy định của Bộ Tài chính hướng dẫn chế độ kế toán doanh nghiệp.</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Trường hợp vốn chủ sở hữu của tổ chức phát hành âm, giá trị tài sản bảo đảm để khấu trừ (Ci) phải coi bằng </w:t>
      </w:r>
      <w:r w:rsidRPr="0086320A">
        <w:rPr>
          <w:rFonts w:eastAsia="Times New Roman" w:cs="Times New Roman"/>
          <w:color w:val="000000"/>
          <w:sz w:val="24"/>
          <w:szCs w:val="24"/>
        </w:rPr>
        <w:t>0 (</w:t>
      </w:r>
      <w:r w:rsidRPr="0086320A">
        <w:rPr>
          <w:rFonts w:eastAsia="Times New Roman" w:cs="Times New Roman"/>
          <w:color w:val="000000"/>
          <w:sz w:val="24"/>
          <w:szCs w:val="24"/>
          <w:lang w:val="vi-VN"/>
        </w:rPr>
        <w:t>không</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g) Tài sản cho thuê tài chính: Giá trị của tài sản cho thuê tài chính được định giá theo quy định tại điểm h </w:t>
      </w:r>
      <w:r w:rsidRPr="0086320A">
        <w:rPr>
          <w:rFonts w:eastAsia="Times New Roman" w:cs="Times New Roman"/>
          <w:color w:val="000000"/>
          <w:sz w:val="24"/>
          <w:szCs w:val="24"/>
        </w:rPr>
        <w:t>Khoản</w:t>
      </w:r>
      <w:r w:rsidRPr="0086320A">
        <w:rPr>
          <w:rFonts w:eastAsia="Times New Roman" w:cs="Times New Roman"/>
          <w:color w:val="000000"/>
          <w:sz w:val="24"/>
          <w:szCs w:val="24"/>
          <w:lang w:val="vi-VN"/>
        </w:rPr>
        <w:t> này hoặc giá trị còn lại của tài sản cho thuê tài chính theo thời gian cho thuê được tính bằng công thức:</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lastRenderedPageBreak/>
        <w:t>Giá trị tài sản cho thuê tài chính chia (:) cho thời gian cho thuê theo hợp đồng nhân (x)</w:t>
      </w:r>
      <w:r w:rsidRPr="0086320A">
        <w:rPr>
          <w:rFonts w:eastAsia="Times New Roman" w:cs="Times New Roman"/>
          <w:color w:val="000000"/>
          <w:sz w:val="24"/>
          <w:szCs w:val="24"/>
        </w:rPr>
        <w:t> với</w:t>
      </w:r>
      <w:r w:rsidRPr="0086320A">
        <w:rPr>
          <w:rFonts w:eastAsia="Times New Roman" w:cs="Times New Roman"/>
          <w:color w:val="000000"/>
          <w:sz w:val="24"/>
          <w:szCs w:val="24"/>
          <w:lang w:val="vi-VN"/>
        </w:rPr>
        <w:t> thời gian thuê còn lại theo hợp đồng</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h) Việc xác định giá</w:t>
      </w:r>
      <w:r w:rsidRPr="0086320A">
        <w:rPr>
          <w:rFonts w:eastAsia="Times New Roman" w:cs="Times New Roman"/>
          <w:color w:val="000000"/>
          <w:sz w:val="24"/>
          <w:szCs w:val="24"/>
        </w:rPr>
        <w:t> trị</w:t>
      </w:r>
      <w:r w:rsidRPr="0086320A">
        <w:rPr>
          <w:rFonts w:eastAsia="Times New Roman" w:cs="Times New Roman"/>
          <w:color w:val="000000"/>
          <w:sz w:val="24"/>
          <w:szCs w:val="24"/>
          <w:lang w:val="vi-VN"/>
        </w:rPr>
        <w:t> của tài sản bảo đảm để khấu trừ khi tính số tiền dự phòng cụ thể đối với động sản, bất động sản và các loại tài sản bảo đảm khác, trừ tài sản quy định tại</w:t>
      </w:r>
      <w:r w:rsidRPr="0086320A">
        <w:rPr>
          <w:rFonts w:eastAsia="Times New Roman" w:cs="Times New Roman"/>
          <w:color w:val="000000"/>
          <w:sz w:val="24"/>
          <w:szCs w:val="24"/>
        </w:rPr>
        <w:t> các </w:t>
      </w:r>
      <w:r w:rsidRPr="0086320A">
        <w:rPr>
          <w:rFonts w:eastAsia="Times New Roman" w:cs="Times New Roman"/>
          <w:color w:val="000000"/>
          <w:sz w:val="24"/>
          <w:szCs w:val="24"/>
          <w:lang w:val="vi-VN"/>
        </w:rPr>
        <w:t>điểm a, b, c, d, đ, e </w:t>
      </w:r>
      <w:r w:rsidRPr="0086320A">
        <w:rPr>
          <w:rFonts w:eastAsia="Times New Roman" w:cs="Times New Roman"/>
          <w:color w:val="000000"/>
          <w:sz w:val="24"/>
          <w:szCs w:val="24"/>
        </w:rPr>
        <w:t>Khoản</w:t>
      </w:r>
      <w:r w:rsidRPr="0086320A">
        <w:rPr>
          <w:rFonts w:eastAsia="Times New Roman" w:cs="Times New Roman"/>
          <w:color w:val="000000"/>
          <w:sz w:val="24"/>
          <w:szCs w:val="24"/>
          <w:lang w:val="vi-VN"/>
        </w:rPr>
        <w:t> này được thực hiện như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 Tổ chức tín dụng, chi nhánh ngân hàng nước ngoài phải thuê tổ chức có chức năng thẩm định giá theo quy định của pháp luật để xác định giá trị tài sản bảo đảm được khấu trừ khi tính số tiền trích lập dự phòng cụ thể</w:t>
      </w:r>
      <w:r w:rsidRPr="0086320A">
        <w:rPr>
          <w:rFonts w:eastAsia="Times New Roman" w:cs="Times New Roman"/>
          <w:color w:val="000000"/>
          <w:sz w:val="24"/>
          <w:szCs w:val="24"/>
        </w:rPr>
        <w:t> cuối năm tài chính </w:t>
      </w:r>
      <w:r w:rsidRPr="0086320A">
        <w:rPr>
          <w:rFonts w:eastAsia="Times New Roman" w:cs="Times New Roman"/>
          <w:color w:val="000000"/>
          <w:sz w:val="24"/>
          <w:szCs w:val="24"/>
          <w:lang w:val="vi-VN"/>
        </w:rPr>
        <w:t>trong các trường hợp sau đây:</w:t>
      </w:r>
    </w:p>
    <w:p w:rsidR="0086320A" w:rsidRPr="0086320A" w:rsidRDefault="0086320A" w:rsidP="0086320A">
      <w:pPr>
        <w:shd w:val="clear" w:color="auto" w:fill="FFFFFF"/>
        <w:spacing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Tài sản bảo đảm mà tổ chức tín dụng, chi nhánh ngân hàng nước ngoài định giá từ 50 tỷ đồng trở lên đối với khoản nợ của khách hàng là người có liên quan của tổ chức tín dụng, chi nhánh ngân hàng nước ngoài và các đối tượng bị hạn chế cấp tín dụng theo quy định tại </w:t>
      </w:r>
      <w:bookmarkStart w:id="5" w:name="dc_5"/>
      <w:r w:rsidRPr="0086320A">
        <w:rPr>
          <w:rFonts w:eastAsia="Times New Roman" w:cs="Times New Roman"/>
          <w:color w:val="000000"/>
          <w:sz w:val="24"/>
          <w:szCs w:val="24"/>
          <w:lang w:val="vi-VN"/>
        </w:rPr>
        <w:t>Điều 127 Luật Các tổ chức tín dụng</w:t>
      </w:r>
      <w:bookmarkEnd w:id="5"/>
      <w:r w:rsidRPr="0086320A">
        <w:rPr>
          <w:rFonts w:eastAsia="Times New Roman" w:cs="Times New Roman"/>
          <w:color w:val="000000"/>
          <w:sz w:val="24"/>
          <w:szCs w:val="24"/>
          <w:lang w:val="vi-VN"/>
        </w:rPr>
        <w:t> (đã sửa đổi, bổ sung); </w:t>
      </w:r>
      <w:r w:rsidRPr="0086320A">
        <w:rPr>
          <w:rFonts w:eastAsia="Times New Roman" w:cs="Times New Roman"/>
          <w:color w:val="000000"/>
          <w:sz w:val="24"/>
          <w:szCs w:val="24"/>
        </w:rPr>
        <w:t>t</w:t>
      </w:r>
      <w:r w:rsidRPr="0086320A">
        <w:rPr>
          <w:rFonts w:eastAsia="Times New Roman" w:cs="Times New Roman"/>
          <w:color w:val="000000"/>
          <w:sz w:val="24"/>
          <w:szCs w:val="24"/>
          <w:lang w:val="vi-VN"/>
        </w:rPr>
        <w:t>ài sản bảo đảm mà tổ chức tín dụng, chi nhánh ngân hàng nước ngoài định giá từ 200 tỷ đồng trở lên.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Kết quả định giá tài sản bảo đảm của tổ chức có chức năng thẩm định giá theo quy định của pháp luật được tổ chức tín dụng, chi nhánh ngân hàng nước ngoài sử dụng để xác định giá trị tài sản bảo đảm được khấu trừ khi tính số tiền trích lập dự phòng cụ thể.</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Trường hợp tổ chức có chức năng thẩm định giá không đủ khả năng hoặc không có tổ chức có chức năng thẩm định giá định giá các tài sản bảo đảm thì tổ chức tín dụng, chi nhánh ngân hàng nước ngoài sử dụng kết quả định giá theo quy định nội bộ quy định tại điểm h khoản 2 Điều 6 Thông tư này. Trường hợp không có văn bản định giá tài sản bảo đảm của tổ chức định giá và không xác định được giá trị tài sản bảo đảm theo quy định nội bộ thì giá trị tài sản bảo đảm để khấu trừ phải coi bằng</w:t>
      </w:r>
      <w:r w:rsidRPr="0086320A">
        <w:rPr>
          <w:rFonts w:eastAsia="Times New Roman" w:cs="Times New Roman"/>
          <w:color w:val="000000"/>
          <w:sz w:val="24"/>
          <w:szCs w:val="24"/>
        </w:rPr>
        <w:t> 0 (</w:t>
      </w:r>
      <w:r w:rsidRPr="0086320A">
        <w:rPr>
          <w:rFonts w:eastAsia="Times New Roman" w:cs="Times New Roman"/>
          <w:color w:val="000000"/>
          <w:sz w:val="24"/>
          <w:szCs w:val="24"/>
          <w:lang w:val="vi-VN"/>
        </w:rPr>
        <w:t>không</w:t>
      </w:r>
      <w:r w:rsidRPr="0086320A">
        <w:rPr>
          <w:rFonts w:eastAsia="Times New Roman" w:cs="Times New Roman"/>
          <w:color w:val="000000"/>
          <w:sz w:val="24"/>
          <w:szCs w:val="24"/>
        </w:rPr>
        <w:t>)</w:t>
      </w:r>
      <w:r w:rsidRPr="0086320A">
        <w:rPr>
          <w:rFonts w:eastAsia="Times New Roman" w:cs="Times New Roman"/>
          <w:color w:val="000000"/>
          <w:sz w:val="24"/>
          <w:szCs w:val="24"/>
          <w:lang w:val="vi-VN"/>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(ii) Trừ </w:t>
      </w:r>
      <w:r w:rsidRPr="0086320A">
        <w:rPr>
          <w:rFonts w:eastAsia="Times New Roman" w:cs="Times New Roman"/>
          <w:color w:val="000000"/>
          <w:sz w:val="24"/>
          <w:szCs w:val="24"/>
        </w:rPr>
        <w:t>trường hợp</w:t>
      </w:r>
      <w:r w:rsidRPr="0086320A">
        <w:rPr>
          <w:rFonts w:eastAsia="Times New Roman" w:cs="Times New Roman"/>
          <w:color w:val="000000"/>
          <w:sz w:val="24"/>
          <w:szCs w:val="24"/>
          <w:lang w:val="vi-VN"/>
        </w:rPr>
        <w:t> quy định tại điểm h(i) </w:t>
      </w:r>
      <w:r w:rsidRPr="0086320A">
        <w:rPr>
          <w:rFonts w:eastAsia="Times New Roman" w:cs="Times New Roman"/>
          <w:color w:val="000000"/>
          <w:sz w:val="24"/>
          <w:szCs w:val="24"/>
        </w:rPr>
        <w:t>Khoản</w:t>
      </w:r>
      <w:r w:rsidRPr="0086320A">
        <w:rPr>
          <w:rFonts w:eastAsia="Times New Roman" w:cs="Times New Roman"/>
          <w:color w:val="000000"/>
          <w:sz w:val="24"/>
          <w:szCs w:val="24"/>
          <w:lang w:val="vi-VN"/>
        </w:rPr>
        <w:t> này, tổ chức tín dụng, chi nhánh ngân hàng nước ngoài xác định giá trị tài sản bảo đảm để khấu trừ khi tính số tiền trích lập dự phòng cụ thể theo quy định nội bộ tại </w:t>
      </w:r>
      <w:r w:rsidRPr="0086320A">
        <w:rPr>
          <w:rFonts w:eastAsia="Times New Roman" w:cs="Times New Roman"/>
          <w:color w:val="000000"/>
          <w:sz w:val="24"/>
          <w:szCs w:val="24"/>
        </w:rPr>
        <w:t>điểm h khoản 2 </w:t>
      </w:r>
      <w:r w:rsidRPr="0086320A">
        <w:rPr>
          <w:rFonts w:eastAsia="Times New Roman" w:cs="Times New Roman"/>
          <w:color w:val="000000"/>
          <w:sz w:val="24"/>
          <w:szCs w:val="24"/>
          <w:lang w:val="vi-VN"/>
        </w:rPr>
        <w:t>Điều 6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6. Tổ chức tín dụng, chi nhánh ngân hàng nước ngoài xác định tỷ lệ khấu trừ cụ thể của từng loại tài sản bảo đảm theo nguyên tắc tài sản bảo đảm có khả năng thanh khoản càng thấp</w:t>
      </w:r>
      <w:r w:rsidRPr="0086320A">
        <w:rPr>
          <w:rFonts w:eastAsia="Times New Roman" w:cs="Times New Roman"/>
          <w:color w:val="000000"/>
          <w:sz w:val="24"/>
          <w:szCs w:val="24"/>
        </w:rPr>
        <w:t>, </w:t>
      </w:r>
      <w:r w:rsidRPr="0086320A">
        <w:rPr>
          <w:rFonts w:eastAsia="Times New Roman" w:cs="Times New Roman"/>
          <w:color w:val="000000"/>
          <w:sz w:val="24"/>
          <w:szCs w:val="24"/>
          <w:lang w:val="vi-VN"/>
        </w:rPr>
        <w:t>mức biến động giá càng lớn thì tỷ lệ khấu trừ tài sản bảo đảm càng thấp. Trong đó, tỷ lệ khấu trừ tối đa đối với tài sản bảo đảm </w:t>
      </w:r>
      <w:r w:rsidRPr="0086320A">
        <w:rPr>
          <w:rFonts w:eastAsia="Times New Roman" w:cs="Times New Roman"/>
          <w:color w:val="000000"/>
          <w:sz w:val="24"/>
          <w:szCs w:val="24"/>
        </w:rPr>
        <w:t>được xác định</w:t>
      </w:r>
      <w:r w:rsidRPr="0086320A">
        <w:rPr>
          <w:rFonts w:eastAsia="Times New Roman" w:cs="Times New Roman"/>
          <w:color w:val="000000"/>
          <w:sz w:val="24"/>
          <w:szCs w:val="24"/>
          <w:lang w:val="vi-VN"/>
        </w:rPr>
        <w:t> như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Số dư tiền gửi, chứng chỉ tiền gửi của khách hàng bằng Đồng Việt Nam tại chính tổ chức tín dụng, chi nhánh ngân hàng nước ngoài: 100%;</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Trái phiếu Chính phủ, vàng miếng theo quy định của pháp luật về hoạt động kinh doanh vàng; số dư tiền gửi, chứng chỉ tiền gửi của khách hàng bằng ngoại tệ tại chính tổ chức tín dụng, chi nhánh ngân hàng nước ngoài: 95%;</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 Trái phiếu chính quyền địa phương, trái phiếu được Chính phủ bảo lãnh</w:t>
      </w:r>
      <w:r w:rsidRPr="0086320A">
        <w:rPr>
          <w:rFonts w:eastAsia="Times New Roman" w:cs="Times New Roman"/>
          <w:color w:val="000000"/>
          <w:sz w:val="24"/>
          <w:szCs w:val="24"/>
        </w:rPr>
        <w:t>;</w:t>
      </w:r>
      <w:r w:rsidRPr="0086320A">
        <w:rPr>
          <w:rFonts w:eastAsia="Times New Roman" w:cs="Times New Roman"/>
          <w:color w:val="000000"/>
          <w:sz w:val="24"/>
          <w:szCs w:val="24"/>
          <w:lang w:val="vi-VN"/>
        </w:rPr>
        <w:t> công cụ chuyển nhượng</w:t>
      </w:r>
      <w:r w:rsidRPr="0086320A">
        <w:rPr>
          <w:rFonts w:eastAsia="Times New Roman" w:cs="Times New Roman"/>
          <w:color w:val="000000"/>
          <w:sz w:val="24"/>
          <w:szCs w:val="24"/>
        </w:rPr>
        <w:t>, </w:t>
      </w:r>
      <w:r w:rsidRPr="0086320A">
        <w:rPr>
          <w:rFonts w:eastAsia="Times New Roman" w:cs="Times New Roman"/>
          <w:color w:val="000000"/>
          <w:sz w:val="24"/>
          <w:szCs w:val="24"/>
          <w:lang w:val="vi-VN"/>
        </w:rPr>
        <w:t>kỳ phiếu, tín phiếu</w:t>
      </w:r>
      <w:r w:rsidRPr="0086320A">
        <w:rPr>
          <w:rFonts w:eastAsia="Times New Roman" w:cs="Times New Roman"/>
          <w:color w:val="000000"/>
          <w:sz w:val="24"/>
          <w:szCs w:val="24"/>
        </w:rPr>
        <w:t>, trái phiếu </w:t>
      </w:r>
      <w:r w:rsidRPr="0086320A">
        <w:rPr>
          <w:rFonts w:eastAsia="Times New Roman" w:cs="Times New Roman"/>
          <w:color w:val="000000"/>
          <w:sz w:val="24"/>
          <w:szCs w:val="24"/>
          <w:lang w:val="vi-VN"/>
        </w:rPr>
        <w:t>do chính tổ chức tín dụng phát hành; số dư tiền gửi, chứng chỉ tiền gửi, kỳ phiếu, tín phiếu do tổ chức tín dụng, chi nhánh ngân hàng nước ngoài khác phát hành:</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 Có thời hạn còn lại dưới 1 năm: 95%;</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 Có thời hạn còn lại từ 1 năm đến 5 năm: 85%;</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 Có thời hạn còn lại trên 5 năm: 80%.</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lastRenderedPageBreak/>
        <w:t>d) Chứng khoán do các tổ chức tín dụng khác phát hành được niêm yết trên Sở giao dịch chứng khoán: 70%;</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đ) Chứng khoán do doanh nghiệp (trừ tổ chức tín dụng) phát hành được niêm yết trên Sở giao dịch chứng khoán: 65%;</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e) Chứng khoán chưa được niêm yết trên Sở giao dịch chứng khoán, giấy tờ có giá, trừ các khoản quy định tại </w:t>
      </w:r>
      <w:r w:rsidRPr="0086320A">
        <w:rPr>
          <w:rFonts w:eastAsia="Times New Roman" w:cs="Times New Roman"/>
          <w:color w:val="000000"/>
          <w:sz w:val="24"/>
          <w:szCs w:val="24"/>
        </w:rPr>
        <w:t>điểm</w:t>
      </w:r>
      <w:r w:rsidRPr="0086320A">
        <w:rPr>
          <w:rFonts w:eastAsia="Times New Roman" w:cs="Times New Roman"/>
          <w:color w:val="000000"/>
          <w:sz w:val="24"/>
          <w:szCs w:val="24"/>
          <w:lang w:val="vi-VN"/>
        </w:rPr>
        <w:t> c </w:t>
      </w:r>
      <w:r w:rsidRPr="0086320A">
        <w:rPr>
          <w:rFonts w:eastAsia="Times New Roman" w:cs="Times New Roman"/>
          <w:color w:val="000000"/>
          <w:sz w:val="24"/>
          <w:szCs w:val="24"/>
        </w:rPr>
        <w:t>Khoản</w:t>
      </w:r>
      <w:r w:rsidRPr="0086320A">
        <w:rPr>
          <w:rFonts w:eastAsia="Times New Roman" w:cs="Times New Roman"/>
          <w:color w:val="000000"/>
          <w:sz w:val="24"/>
          <w:szCs w:val="24"/>
          <w:lang w:val="vi-VN"/>
        </w:rPr>
        <w:t> này, do tổ chức tín dụng</w:t>
      </w:r>
      <w:r w:rsidRPr="0086320A">
        <w:rPr>
          <w:rFonts w:eastAsia="Times New Roman" w:cs="Times New Roman"/>
          <w:color w:val="000000"/>
          <w:sz w:val="24"/>
          <w:szCs w:val="24"/>
        </w:rPr>
        <w:t> khác</w:t>
      </w:r>
      <w:r w:rsidRPr="0086320A">
        <w:rPr>
          <w:rFonts w:eastAsia="Times New Roman" w:cs="Times New Roman"/>
          <w:color w:val="000000"/>
          <w:sz w:val="24"/>
          <w:szCs w:val="24"/>
          <w:lang w:val="vi-VN"/>
        </w:rPr>
        <w:t> có đăng ký niêm yết chứng khoán trên Sở giao dịch chứng khoán phát hành: 50%;</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Chứng khoán chưa được niêm yết trên Sở giao dịch chứng khoán, giấy tờ có giá, trừ các khoản quy định tại </w:t>
      </w:r>
      <w:r w:rsidRPr="0086320A">
        <w:rPr>
          <w:rFonts w:eastAsia="Times New Roman" w:cs="Times New Roman"/>
          <w:color w:val="000000"/>
          <w:sz w:val="24"/>
          <w:szCs w:val="24"/>
        </w:rPr>
        <w:t>điểm </w:t>
      </w:r>
      <w:r w:rsidRPr="0086320A">
        <w:rPr>
          <w:rFonts w:eastAsia="Times New Roman" w:cs="Times New Roman"/>
          <w:color w:val="000000"/>
          <w:sz w:val="24"/>
          <w:szCs w:val="24"/>
          <w:lang w:val="vi-VN"/>
        </w:rPr>
        <w:t>c </w:t>
      </w:r>
      <w:r w:rsidRPr="0086320A">
        <w:rPr>
          <w:rFonts w:eastAsia="Times New Roman" w:cs="Times New Roman"/>
          <w:color w:val="000000"/>
          <w:sz w:val="24"/>
          <w:szCs w:val="24"/>
        </w:rPr>
        <w:t>Khoản</w:t>
      </w:r>
      <w:r w:rsidRPr="0086320A">
        <w:rPr>
          <w:rFonts w:eastAsia="Times New Roman" w:cs="Times New Roman"/>
          <w:color w:val="000000"/>
          <w:sz w:val="24"/>
          <w:szCs w:val="24"/>
          <w:lang w:val="vi-VN"/>
        </w:rPr>
        <w:t> này, do tổ chức tín dụng </w:t>
      </w:r>
      <w:r w:rsidRPr="0086320A">
        <w:rPr>
          <w:rFonts w:eastAsia="Times New Roman" w:cs="Times New Roman"/>
          <w:color w:val="000000"/>
          <w:sz w:val="24"/>
          <w:szCs w:val="24"/>
        </w:rPr>
        <w:t>khác</w:t>
      </w:r>
      <w:r w:rsidRPr="0086320A">
        <w:rPr>
          <w:rFonts w:eastAsia="Times New Roman" w:cs="Times New Roman"/>
          <w:color w:val="000000"/>
          <w:sz w:val="24"/>
          <w:szCs w:val="24"/>
          <w:lang w:val="vi-VN"/>
        </w:rPr>
        <w:t> không có đăng ký niêm yết chứng khoán trên Sở giao dịch chứng khoán phát hành: 30%;</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g) Chứng khoán chưa được niêm yết trên Sở giao dịch chứng khoán, giấy tờ có giá do doanh nghiệp có đăng ký niêm yết chứng khoán trên Sở giao dịch chứng khoán phát hành: 30%;</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Chứng khoán chưa được niêm yết trên Sở giao dịch chứng khoán, giấy tờ có giá do doanh nghiệp không có đăng ký niêm yết chứng khoán trên Sở giao dịch chứng khoán phát hành: 10%;</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h) Bất động sản: 50%;</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 Các loại tài sản bảo đảm khác: 30%.</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7. Tổ chức tín dụng trong thời gian triển khai phương án cơ cấu lại, hợp nhất, sáp nhập theo Đề án cơ cấu lại tổ chức tín dụng, gắn với xử lý nợ xấu được Thủ tướng Chính phủ phê duyệt</w:t>
      </w:r>
      <w:r w:rsidRPr="0086320A">
        <w:rPr>
          <w:rFonts w:eastAsia="Times New Roman" w:cs="Times New Roman"/>
          <w:color w:val="000000"/>
          <w:sz w:val="24"/>
          <w:szCs w:val="24"/>
        </w:rPr>
        <w:t>,</w:t>
      </w:r>
      <w:r w:rsidRPr="0086320A">
        <w:rPr>
          <w:rFonts w:eastAsia="Times New Roman" w:cs="Times New Roman"/>
          <w:color w:val="000000"/>
          <w:sz w:val="24"/>
          <w:szCs w:val="24"/>
          <w:lang w:val="vi-VN"/>
        </w:rPr>
        <w:t> có khó khăn về tài chính báo cáo Ngân hàng Nhà nước xem xét, quyết định việc trích lập dự phòng rủi ro; trường hợp số tiền trích lập dự phòng rủi ro lớn hơn chênh lệch thu chi từ kết quả kinh doanh hàng năm (chưa bao gồm số tiền dự phòng rủi ro đã tạm trích trong năm) thì mức trích lập dự phòng rủi ro tối thiểu bằng mức chênh lệch thu chi và tổ chức tín dụng phải theo dõi số tiền phải trích lập dự phòng</w:t>
      </w:r>
      <w:r w:rsidRPr="0086320A">
        <w:rPr>
          <w:rFonts w:eastAsia="Times New Roman" w:cs="Times New Roman"/>
          <w:color w:val="000000"/>
          <w:sz w:val="24"/>
          <w:szCs w:val="24"/>
        </w:rPr>
        <w:t> rủi ro</w:t>
      </w:r>
      <w:r w:rsidRPr="0086320A">
        <w:rPr>
          <w:rFonts w:eastAsia="Times New Roman" w:cs="Times New Roman"/>
          <w:color w:val="000000"/>
          <w:sz w:val="24"/>
          <w:szCs w:val="24"/>
          <w:lang w:val="vi-VN"/>
        </w:rPr>
        <w:t> đầy đủ theo quy định tại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Điều 13. Mức trích lập dự phòng chung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Số tiền dự phòng chung phải trích được xác định bằng 0,75% tổng số dư các khoản nợ từ nhóm 1 đến nhóm 4, trừ các khoản sau đây: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1. </w:t>
      </w:r>
      <w:r w:rsidRPr="0086320A">
        <w:rPr>
          <w:rFonts w:eastAsia="Times New Roman" w:cs="Times New Roman"/>
          <w:color w:val="000000"/>
          <w:sz w:val="24"/>
          <w:szCs w:val="24"/>
        </w:rPr>
        <w:t>T</w:t>
      </w:r>
      <w:r w:rsidRPr="0086320A">
        <w:rPr>
          <w:rFonts w:eastAsia="Times New Roman" w:cs="Times New Roman"/>
          <w:color w:val="000000"/>
          <w:sz w:val="24"/>
          <w:szCs w:val="24"/>
          <w:lang w:val="vi-VN"/>
        </w:rPr>
        <w:t>iền </w:t>
      </w:r>
      <w:r w:rsidRPr="0086320A">
        <w:rPr>
          <w:rFonts w:eastAsia="Times New Roman" w:cs="Times New Roman"/>
          <w:color w:val="000000"/>
          <w:sz w:val="24"/>
          <w:szCs w:val="24"/>
        </w:rPr>
        <w:t>gửi </w:t>
      </w:r>
      <w:r w:rsidRPr="0086320A">
        <w:rPr>
          <w:rFonts w:eastAsia="Times New Roman" w:cs="Times New Roman"/>
          <w:color w:val="000000"/>
          <w:sz w:val="24"/>
          <w:szCs w:val="24"/>
          <w:lang w:val="vi-VN"/>
        </w:rPr>
        <w:t>tại tổ chức tín dụng, chi nhánh ngân hàng nước ngoài theo quy định của pháp luật và </w:t>
      </w:r>
      <w:r w:rsidRPr="0086320A">
        <w:rPr>
          <w:rFonts w:eastAsia="Times New Roman" w:cs="Times New Roman"/>
          <w:color w:val="000000"/>
          <w:sz w:val="24"/>
          <w:szCs w:val="24"/>
        </w:rPr>
        <w:t>tiền </w:t>
      </w:r>
      <w:r w:rsidRPr="0086320A">
        <w:rPr>
          <w:rFonts w:eastAsia="Times New Roman" w:cs="Times New Roman"/>
          <w:color w:val="000000"/>
          <w:sz w:val="24"/>
          <w:szCs w:val="24"/>
          <w:lang w:val="vi-VN"/>
        </w:rPr>
        <w:t>gửi tại tổ chức tín dụng ở nước ngoài</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2. Khoản cho vay, mua có kỳ hạn giấy tờ có giá giữa các tổ chức tín dụng, chi nhánh ngân hàng nước ngoài tại Việt Nam</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3. Khoản mua kỳ phiếu, tín phiếu, chứng chỉ tiền gửi, trái phiếu do tổ chức tín dụng, chi nhánh ngân hàng nước ngoài khác phát hành trong nước</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4. Khoản mua bán lại </w:t>
      </w:r>
      <w:r w:rsidRPr="0086320A">
        <w:rPr>
          <w:rFonts w:eastAsia="Times New Roman" w:cs="Times New Roman"/>
          <w:color w:val="000000"/>
          <w:sz w:val="24"/>
          <w:szCs w:val="24"/>
        </w:rPr>
        <w:t>t</w:t>
      </w:r>
      <w:r w:rsidRPr="0086320A">
        <w:rPr>
          <w:rFonts w:eastAsia="Times New Roman" w:cs="Times New Roman"/>
          <w:color w:val="000000"/>
          <w:sz w:val="24"/>
          <w:szCs w:val="24"/>
          <w:lang w:val="vi-VN"/>
        </w:rPr>
        <w:t>rái phiếu Chính phủ theo quy định tại điểm l khoản 1 Điều 1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Điều 14. Bổ sung và hoàn nhập số tiền dự phòng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1. Trường hợp số tiền dự phòng cụ thể và dự phòng chung còn lại của kỳ kế toán trước nhỏ hơn số tiền dự phòng cụ thể và dự phòng chung phải trích của kỳ kế toán trích lập, tổ chức tín dụng, chi nhánh ngân hàng nước ngoài phải trích bổ sung phần chênh lệch thiếu.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lastRenderedPageBreak/>
        <w:t>2. Trường hợp số tiền dự phòng cụ thể và dự phòng chung còn lại của kỳ kế toán trước lớn hơn số tiền dự phòng cụ thể và dự phòng chung phải trích của kỳ kế toán trích lập, tổ chức tín dụng, chi nhánh ngân hàng nước ngoài phải hoàn nhập phần chênh lệch thừa.</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Mục 3</w:t>
      </w:r>
      <w:r w:rsidRPr="0086320A">
        <w:rPr>
          <w:rFonts w:eastAsia="Times New Roman" w:cs="Times New Roman"/>
          <w:b/>
          <w:bCs/>
          <w:color w:val="000000"/>
          <w:sz w:val="24"/>
          <w:szCs w:val="24"/>
        </w:rPr>
        <w:t>. </w:t>
      </w:r>
      <w:r w:rsidRPr="0086320A">
        <w:rPr>
          <w:rFonts w:eastAsia="Times New Roman" w:cs="Times New Roman"/>
          <w:b/>
          <w:bCs/>
          <w:color w:val="000000"/>
          <w:sz w:val="24"/>
          <w:szCs w:val="24"/>
          <w:lang w:val="vi-VN"/>
        </w:rPr>
        <w:t>SỬ DỤNG DỰ PHÒNG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Điều 15. Hội đồng xử lý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1. Thành phần của Hội đồng xử lý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rPr>
        <w:t>a) Ngân hàng thương mại</w:t>
      </w:r>
      <w:r w:rsidRPr="0086320A">
        <w:rPr>
          <w:rFonts w:eastAsia="Times New Roman" w:cs="Times New Roman"/>
          <w:color w:val="000000"/>
          <w:sz w:val="24"/>
          <w:szCs w:val="24"/>
          <w:lang w:val="vi-VN"/>
        </w:rPr>
        <w:t> phải thành lập Hội đồng xử lý rủi ro gồm 01 thành viên là thành viên Hội đồng quản trị hoặc Hội đồng thành viên làm chủ tịch; 01 thành viên</w:t>
      </w:r>
      <w:r w:rsidRPr="0086320A">
        <w:rPr>
          <w:rFonts w:eastAsia="Times New Roman" w:cs="Times New Roman"/>
          <w:color w:val="000000"/>
          <w:sz w:val="24"/>
          <w:szCs w:val="24"/>
        </w:rPr>
        <w:t> khác</w:t>
      </w:r>
      <w:r w:rsidRPr="0086320A">
        <w:rPr>
          <w:rFonts w:eastAsia="Times New Roman" w:cs="Times New Roman"/>
          <w:color w:val="000000"/>
          <w:sz w:val="24"/>
          <w:szCs w:val="24"/>
          <w:lang w:val="vi-VN"/>
        </w:rPr>
        <w:t> là thành viên của Ủy ban quản lý rủi ro; 01 thành viên</w:t>
      </w:r>
      <w:r w:rsidRPr="0086320A">
        <w:rPr>
          <w:rFonts w:eastAsia="Times New Roman" w:cs="Times New Roman"/>
          <w:color w:val="000000"/>
          <w:sz w:val="24"/>
          <w:szCs w:val="24"/>
        </w:rPr>
        <w:t> khác</w:t>
      </w:r>
      <w:r w:rsidRPr="0086320A">
        <w:rPr>
          <w:rFonts w:eastAsia="Times New Roman" w:cs="Times New Roman"/>
          <w:color w:val="000000"/>
          <w:sz w:val="24"/>
          <w:szCs w:val="24"/>
          <w:lang w:val="vi-VN"/>
        </w:rPr>
        <w:t> là Tổng giám đốc (Giám đốc) và tối thiểu 02 thành viên khác do Hội đồng quản trị, Hội đồng thành viên quyết định</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rPr>
        <w:t>b) </w:t>
      </w:r>
      <w:r w:rsidRPr="0086320A">
        <w:rPr>
          <w:rFonts w:eastAsia="Times New Roman" w:cs="Times New Roman"/>
          <w:color w:val="000000"/>
          <w:sz w:val="24"/>
          <w:szCs w:val="24"/>
          <w:lang w:val="vi-VN"/>
        </w:rPr>
        <w:t>Chi nhánh ngân hàng nước ngoài, tổ chức tín dụng phi ngân hàng phải thành lập Hội đồng xử lý rủi ro gồm Tổng giám đốc (Giám đốc) làm chủ tịch và tối thiểu 02 thành viên khác do Tổng giám đốc (Giám đốc) quyết định.</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2. Trách nhiệm của Hội đồng xử lý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Phê duyệt báo cáo tổng hợp toàn hệ thống về kết quả thu hồi nợ đã sử dụng dự phòng </w:t>
      </w:r>
      <w:r w:rsidRPr="0086320A">
        <w:rPr>
          <w:rFonts w:eastAsia="Times New Roman" w:cs="Times New Roman"/>
          <w:color w:val="000000"/>
          <w:sz w:val="24"/>
          <w:szCs w:val="24"/>
        </w:rPr>
        <w:t>để xử lý </w:t>
      </w:r>
      <w:r w:rsidRPr="0086320A">
        <w:rPr>
          <w:rFonts w:eastAsia="Times New Roman" w:cs="Times New Roman"/>
          <w:color w:val="000000"/>
          <w:sz w:val="24"/>
          <w:szCs w:val="24"/>
          <w:lang w:val="vi-VN"/>
        </w:rPr>
        <w:t>rủi ro, bao gồm kết quả xử lý tài sản bảo đảm và xác định rõ cơ sở của việc phê duyệt;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Quyết định hoặc phê duyệt việc phân loại nợ, cam kết ngoại bảng, trích lập dự phòng, sử dụng dự phòng</w:t>
      </w:r>
      <w:r w:rsidRPr="0086320A">
        <w:rPr>
          <w:rFonts w:eastAsia="Times New Roman" w:cs="Times New Roman"/>
          <w:color w:val="000000"/>
          <w:sz w:val="24"/>
          <w:szCs w:val="24"/>
        </w:rPr>
        <w:t> để xử lý</w:t>
      </w:r>
      <w:r w:rsidRPr="0086320A">
        <w:rPr>
          <w:rFonts w:eastAsia="Times New Roman" w:cs="Times New Roman"/>
          <w:color w:val="000000"/>
          <w:sz w:val="24"/>
          <w:szCs w:val="24"/>
          <w:lang w:val="vi-VN"/>
        </w:rPr>
        <w:t> rủi ro trong toàn hệ thống;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 Quyết định hoặc phê duyệt các biện pháp thu hồi nợ đã được sử dụng dự phòng </w:t>
      </w:r>
      <w:r w:rsidRPr="0086320A">
        <w:rPr>
          <w:rFonts w:eastAsia="Times New Roman" w:cs="Times New Roman"/>
          <w:color w:val="000000"/>
          <w:sz w:val="24"/>
          <w:szCs w:val="24"/>
        </w:rPr>
        <w:t>để xử lý rủi ro</w:t>
      </w:r>
      <w:r w:rsidRPr="0086320A">
        <w:rPr>
          <w:rFonts w:eastAsia="Times New Roman" w:cs="Times New Roman"/>
          <w:color w:val="000000"/>
          <w:sz w:val="24"/>
          <w:szCs w:val="24"/>
          <w:lang w:val="vi-VN"/>
        </w:rPr>
        <w:t> trong toàn hệ thống, bao gồm cả việc xử lý tài sản bảo đảm.</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sz w:val="24"/>
          <w:szCs w:val="24"/>
        </w:rPr>
        <w:t>Điều 16. Nguyên tắc và hồ sơ xử lý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1. Tổ chức tín dụng, chi nhánh ngân hàng nước ngoài sử dụng dự phòng để xử lý rủi ro trong các trường hợp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a) Khách hàng là tổ chức bị giải thể, phá sản; cá nhân bị chết, mất tích;</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b) Các khoản nợ được phân loại vào nhóm 5.</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2. Tổ chức tín dụng, chi nhánh ngân hàng nước ngoài sử dụng dự phòng để xử lý rủi ro theo nguyên tắc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a) Đối với trường hợp tổ chức tín dụng, chi nhánh ngân hàng nước ngoài đã xử lý tài sản bảo đảm để thu hồi nợ theo thỏa thuận của các bên, phù hợp với quy định của pháp luật, tổ chức tín dụng, chi nhánh ngân hàng nước ngoài sử dụng dự phòng cụ thể để xử lý rủi ro đối với số dư nợ còn lại của khoản nợ; trường hợp sử dụng dự phòng cụ thể không đủ bù đắp rủi ro của khoản nợ thì phải sử dụng dự phòng chung để xử lý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b) Đối với trường hợp tổ chức tín dụng, chi nhánh ngân hàng nước ngoài chưa xử lý tài sản bảo đảm để thu hồi nợ, tổ chức tín dụng, chi nhánh ngân hàng nước ngoài sử dụng dự phòng để xử lý rủi ro theo nguyên tắc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(i) Sử dụng dự phòng cụ thể trích lập theo quy định tại Điều 12 Thông tư này để xử lý rủi ro đối với khoản nợ đó;</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(ii) Khẩn trương tiến hành xử lý tài sản bảo đảm theo thỏa thuận với khách hàng và theo quy định của pháp luật để thu hồi nợ;</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lastRenderedPageBreak/>
        <w:t>(iii) Trường hợp sử dụng dự phòng cụ thể và số tiền thu được từ xử lý tài sản bảo đảm không đủ bù đắp rủi ro của khoản nợ thì sử dụng dự phòng chung để xử lý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c) Tổ chức tín dụng, chi nhánh ngân hàng nước ngoài hạch toán ngoại bảng phần dư nợ đã sử dụng dự phòng cụ thể, dự phòng chung để xử lý rủi ro quy định tại các điểm a, b Khoản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3. Việc sử dụng dự phòng để xử lý rủi ro là hình thức thay đổi hạch toán đối với khoản nợ, chuyển khoản nợ được xử lý rủi ro ra hạch toán trên các tài khoản ngoại bảng; là công việc nội bộ của tổ chức tín dụng, chi nhánh ngân hàng nước ngoài; không làm thay đổi nghĩa vụ trả nợ của khách hàng đối với khoản nợ được sử dụng dự phòng để xử lý rủi ro và trách nhiệm của tổ chức, cá nhân liên quan đến khoản nợ. Tổ chức tín dụng, chi nhánh ngân hàng nước ngoài không được thông báo cho khách hàng về việc khoản nợ đã được sử dụng dự phòng để xử lý rủi ro. Sau khi xử lý rủi ro, tổ chức tín dụng, chi nhánh ngân hàng nước ngoài phải theo dõi, có các biện pháp thu hồi nợ đầy đủ, triệt để đối với khoản nợ được xử lý rủi ro, trừ trường hợp khoản nợ sau khi xử lý rủi ro được tổ chức tín dụng, chi nhánh ngân hàng nước ngoài bán cho tổ chức, cá nhân, thu được đầy đủ tiền bán nợ theo Hợp đồng mua, bán nợ.</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4. Hồ sơ xử lý rủi ro gồm:</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a) Hồ sơ cấp tín dụng và hồ sơ thu nợ đối với các khoản nợ được sử dụng dự phòng để xử lý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b) Hồ sơ tài sản bảo đảm và các giấy tờ khác có liên quan (nếu có);</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c) Quyết định hoặc phê duyệt của Hội đồng xử lý rủi ro về kết quả phân loại nợ, trích lập dự phòng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d) Quyết định hoặc phê duyệt của Hội đồng xử lý rủi ro về việc sử dụng dự phòng để xử lý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đ) Đối với trường hợp khách hàng là tổ chức, doanh nghiệp bị phá sản, giải thể, ngoài hồ sơ nêu tại các điểm a, b, c, d Khoản này phải có bản gốc hoặc bản sao được chứng thực hoặc bản sao từ sổ gốc Quyết định tuyên bố phá sản của Tòa án hoặc quyết định giải thể doanh nghiệp theo quy định của pháp luật;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e) Đối với trường hợp khách hàng là cá nhân bị chết, mất tích, ngoài hồ sơ quy định tại các điểm a, b, c, d Khoản này phải có bản gốc hoặc bản sao được chứng thực hoặc bản sao từ sổ gốc Giấy chứng tử hoặc xác nhận bằng văn bản của chính quyền địa phương cấp xã về việc khách hàng đã chết trong trường hợp không có Giấy chứng tử, hoặc quyết định tuyên bố mất tích theo quy định của pháp luật.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sz w:val="24"/>
          <w:szCs w:val="24"/>
        </w:rPr>
        <w:t>Điều 17. Theo dõi nợ đã sử dụng dự phòng để xử lý rủi ro và xuất toán khỏi ngoại bảng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1. Sau thời gian tối thiểu 05 (năm) năm, kể từ ngày sử dụng dự phòng để xử lý rủi ro và sau khi đã thực hiện tất cả các biện pháp để thu hồi nợ nhưng không thu hồi được, tổ chức tín dụng, chi nhánh ngân hàng nước ngoài được quyết định xuất toán nợ đã xử lý rủi ro ra khỏi ngoại bảng.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 xml:space="preserve">Các khoản nợ được xuất toán ra khỏi ngoại bảng phải theo dõi trong hệ thống quản trị của tổ chức tín dụng, chi nhánh ngân hàng nước ngoài theo quy định về trích lập và xử lý các khoản dự phòng giảm giá hàng tồn kho, tổn thất các khoản đầu tư, nợ phải thu khó đòi và bảo hành sản phẩm hàng hóa dịch vụ công trình xây dựng tại doanh nghiệp trong thời hạn tối thiểu là 10 (mười) năm kể từ ngày quyết định xuất toán nợ đã xử lý rủi ro ra khỏi ngoại bảng, trừ các khoản nợ mà khách hàng là tổ chức đã phá sản, giải thể theo quy định của pháp luật và sau khi thanh lý, </w:t>
      </w:r>
      <w:r w:rsidRPr="0086320A">
        <w:rPr>
          <w:rFonts w:eastAsia="Times New Roman" w:cs="Times New Roman"/>
          <w:sz w:val="24"/>
          <w:szCs w:val="24"/>
        </w:rPr>
        <w:lastRenderedPageBreak/>
        <w:t>xử lý toàn bộ tài sản hoặc khách hàng là cá nhân đã chết, bị tuyên bố mất tích theo quyết định của Tòa án và đã xử lý xong di sản, nghĩa vụ của người này theo quy định của pháp luật.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2. Đối với ngân hàng thương mại nhà nước, ngân hàng thương mại cổ phần mà Nhà nước sở hữu trên 50% vốn điều lệ, việc xuất toán nợ ra khỏi ngoại bảng quy định tại khoản 1 Điều này chỉ được thực hiện khi đáp ứng các điều kiện sau đây: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a) Có hồ sơ, tài liệu chứng minh đã thực hiện tất cả các biện pháp thu hồi nợ nhưng không thu được nợ;</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b) Phải được Ngân hàng Nhà nước phê duyệt bằng văn bản sau khi có ý kiến của Bộ Tài chính.</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3. Đối với tổ chức tín dụng là công ty cổ phần, việc xuất toán nợ ra khỏi ngoại bảng quy định tại khoản 1 Điều này chỉ được thực hiện khi đáp ứng các điều kiện sau đây: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a) Có hồ sơ, tài liệu chứng minh đã thực hiện tất cả các biện pháp thu hồi nợ nhưng không thu được nợ;</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b) Phải được Đại hội đồng cổ đông thông qua.</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4. Đối với tổ chức tín dụng là công ty trách nhiệm hữu hạn, việc xuất toán nợ ra khỏi ngoại bảng quy định tại khoản 1 Điều này chỉ được thực hiện khi đáp ứng các điều kiện sau đây: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a) Có hồ sơ, tài liệu chứng minh đã thực hiện tất cả các biện pháp thu hồi nợ nhưng không thu được nợ;</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b) Phải được Hội đồng thành viên thông qua.</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5. Đối với chi nhánh ngân hàng nước ngoài, việc xuất toán nợ ra khỏi ngoại bảng quy định tại khoản 1 Điều này chỉ được thực hiện khi đáp ứng các điều kiện sau đây: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a) Có hồ sơ, tài liệu chứng minh đã thực hiện tất cả các biện pháp thu hồi nợ nhưng không thu được nợ;</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b) Phải được ngân hàng nước ngoài chấp thuận.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6. Hồ sơ xuất toán nợ ra khỏi ngoại bảng quy định tại khoản 1 Điều này gồm:</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a) Hồ sơ xử lý rủi ro quy định tại khoản 4 Điều 16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b) Quyết định hoặc phê duyệt của tổ chức tín dụng, chi nhánh ngân hàng nước ngoài về việc xuất toán khỏi ngoại bảng đối với nợ đã sử dụng dự phòng để xử lý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c) Quyết định hoặc phê duyệt các biện pháp thu hồi nợ đối với khoản nợ đã được sử dụng dự phòng để xử lý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d) Tài liệu chứng minh đã thực hiện tất cả các biện pháp để thu hồi nợ nhưng không thu hồi được, phù hợp thực tế và các quy định của pháp luật liên quan.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Hồ sơ xuất toán nợ đã xử lý rủi ro ra khỏi ngoại bảng phải được tổ chức tín dụng, chi nhánh ngân hàng nước ngoài lưu giữ theo quy định của pháp luật.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sz w:val="24"/>
          <w:szCs w:val="24"/>
        </w:rPr>
        <w:t>Điều 18. Nguyên tắc xử lý trong trường hợp có bằng chứng chắc chắn chứng minh tổn thất về tài sản đối với khoản nợ</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Trong quá trình hoạt động, bao gồm cả trường hợp quy định tại Điều 16, Điều 17 Thông tư này, trường hợp có bằng chứng chắc chắn chứng minh tổn thất về tài sản đối với khoản nợ, tổ chức tín dụng, chi nhánh ngân hàng nước ngoài xử lý theo nguyên tắc như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lastRenderedPageBreak/>
        <w:t>1. Xử lý tài sản bảo đảm theo thỏa thuận của các bên phù hợp với quy định của pháp luật, trừ trường hợp quy định tại điểm a khoản 2 Điều 16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2. Xác định nguyên nhân, trách nhiệm và xử lý như sau:</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a) Trường hợp do nguyên nhân chủ quan thì người gây ra tổn thất phải bồi thường. Thẩm quyền quyết định mức bồi thường thực hiện theo Điều lệ của tổ chức tín dụng, chi nhánh ngân hàng nước ngoài. Việc xử lý trách nhiệm của người gây ra tổn thất thực hiện theo quy định của pháp luật;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b) Trường hợp tài sản đã mua bảo hiểm thì xử lý theo hợp đồng bảo hiểm;</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c) Sử dụng khoản dự phòng được trích lập trong chi phí để bù đắp theo quy định của pháp luật, trừ trường hợp quy định tại khoản 2 Điều 16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sz w:val="24"/>
          <w:szCs w:val="24"/>
        </w:rPr>
        <w:t>d) Giá trị tổn thất sau khi đã bù đắp bằng tiền bồi thường của cá nhân, tập thể, tổ chức bảo hiểm và sử dụng dự phòng được trích lập trong chi phí, trường hợp thiếu được bù đắp bằng quỹ dự phòng tài chính của tổ chức tín dụng, chi nhánh ngân hàng nước ngoài. Trường hợp quỹ dự phòng tài chính không đủ bù đắp thì phần thiếu được hạch toán vào chi phí khác trong cùng kỳ kế toán.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Điều 1</w:t>
      </w:r>
      <w:r w:rsidRPr="0086320A">
        <w:rPr>
          <w:rFonts w:eastAsia="Times New Roman" w:cs="Times New Roman"/>
          <w:b/>
          <w:bCs/>
          <w:color w:val="000000"/>
          <w:sz w:val="24"/>
          <w:szCs w:val="24"/>
        </w:rPr>
        <w:t>9</w:t>
      </w:r>
      <w:r w:rsidRPr="0086320A">
        <w:rPr>
          <w:rFonts w:eastAsia="Times New Roman" w:cs="Times New Roman"/>
          <w:b/>
          <w:bCs/>
          <w:color w:val="000000"/>
          <w:sz w:val="24"/>
          <w:szCs w:val="24"/>
          <w:lang w:val="vi-VN"/>
        </w:rPr>
        <w:t>. Xử lý đối với số tiền thu hồi được từ nợ đã sử dụng dự phòng để xử lý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Số tiền thu hồi được từ nợ đã</w:t>
      </w:r>
      <w:r w:rsidRPr="0086320A">
        <w:rPr>
          <w:rFonts w:eastAsia="Times New Roman" w:cs="Times New Roman"/>
          <w:color w:val="000000"/>
          <w:sz w:val="24"/>
          <w:szCs w:val="24"/>
        </w:rPr>
        <w:t> sử dụng dự phòng để</w:t>
      </w:r>
      <w:r w:rsidRPr="0086320A">
        <w:rPr>
          <w:rFonts w:eastAsia="Times New Roman" w:cs="Times New Roman"/>
          <w:color w:val="000000"/>
          <w:sz w:val="24"/>
          <w:szCs w:val="24"/>
          <w:lang w:val="vi-VN"/>
        </w:rPr>
        <w:t> xử lý rủi ro, kể cả số tiền thu hồi được từ việc xử lý tài sản bảo đảm, được coi là doanh thu trong kỳ kế toán của tổ chức tín dụng, chi nhánh ngân hàng nước ngoài.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Mục 4</w:t>
      </w:r>
      <w:r w:rsidRPr="0086320A">
        <w:rPr>
          <w:rFonts w:eastAsia="Times New Roman" w:cs="Times New Roman"/>
          <w:b/>
          <w:bCs/>
          <w:color w:val="000000"/>
          <w:sz w:val="24"/>
          <w:szCs w:val="24"/>
        </w:rPr>
        <w:t>. </w:t>
      </w:r>
      <w:r w:rsidRPr="0086320A">
        <w:rPr>
          <w:rFonts w:eastAsia="Times New Roman" w:cs="Times New Roman"/>
          <w:b/>
          <w:bCs/>
          <w:color w:val="000000"/>
          <w:sz w:val="24"/>
          <w:szCs w:val="24"/>
          <w:lang w:val="vi-VN"/>
        </w:rPr>
        <w:t>QUẢN LÝ NỢ, CAM KẾT NGOẠI BẢNG, TRÍCH LẬP VÀ SỬ DỤNG DỰ PHÒNG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Điều </w:t>
      </w:r>
      <w:r w:rsidRPr="0086320A">
        <w:rPr>
          <w:rFonts w:eastAsia="Times New Roman" w:cs="Times New Roman"/>
          <w:b/>
          <w:bCs/>
          <w:color w:val="000000"/>
          <w:sz w:val="24"/>
          <w:szCs w:val="24"/>
        </w:rPr>
        <w:t>20</w:t>
      </w:r>
      <w:r w:rsidRPr="0086320A">
        <w:rPr>
          <w:rFonts w:eastAsia="Times New Roman" w:cs="Times New Roman"/>
          <w:b/>
          <w:bCs/>
          <w:color w:val="000000"/>
          <w:sz w:val="24"/>
          <w:szCs w:val="24"/>
          <w:lang w:val="vi-VN"/>
        </w:rPr>
        <w:t>. Quản lý nợ, cam kết ngoại bảng, trích lập và sử dụng dự phòng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1. Tổ chức tín dụng, chi nhánh ngân hàng nước ngoài phải có bộ phận quản lý nợ, cam kết ngoại bảng (phòng, ban hoặc tương đương) tại trụ sở chính của tổ chức tín dụng, trụ sở chi nhánh ngân hàng nước ngoài để quản lý việc thực hiện việc phân loại nợ, cam kết ngoại bảng, trích lập và sử dụng dự phòng rủi ro trong toàn hệ thống.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2. Trách nhiệm của bộ phận quản lý nợ, cam kết ngoại bảng: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Xây dựng, trình Tổng giám đốc (Giám đốc) để trình Hội đồng quản trị, Hội đồng thành viên (đối với tổ chức tín dụng) hoặc trình Tổng giám đốc (Giám đốc) (đối với chi nhánh ngân hàng nước ngoài) ban hành:</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 Hệ thống xếp hạng tín dụng nội bộ, bổ sung, sửa đổi hệ thống xếp hạng tín dụng nội bộ; các quy định về quản lý, vận hành hệ thống xếp hạng tín dụng nội bộ, việc thu thập, bổ sung số liệu, thông tin khách hàng;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(ii) Chính sách dự phòng rủi ro, sửa đổi, bổ sung chính sách dự phòng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Quản lý, vận hành hệ thống xếp hạng tín dụng nội bộ;</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 Tổng hợp, báo cáo Hội đồng xử lý rủi ro kết quả phân loại nợ, cam kết ngoại bảng, trích lập</w:t>
      </w:r>
      <w:r w:rsidRPr="0086320A">
        <w:rPr>
          <w:rFonts w:eastAsia="Times New Roman" w:cs="Times New Roman"/>
          <w:color w:val="000000"/>
          <w:sz w:val="24"/>
          <w:szCs w:val="24"/>
        </w:rPr>
        <w:t>, </w:t>
      </w:r>
      <w:r w:rsidRPr="0086320A">
        <w:rPr>
          <w:rFonts w:eastAsia="Times New Roman" w:cs="Times New Roman"/>
          <w:color w:val="000000"/>
          <w:sz w:val="24"/>
          <w:szCs w:val="24"/>
          <w:lang w:val="vi-VN"/>
        </w:rPr>
        <w:t>sử dụng dự phòng để xử lý rủi ro</w:t>
      </w:r>
      <w:r w:rsidRPr="0086320A">
        <w:rPr>
          <w:rFonts w:eastAsia="Times New Roman" w:cs="Times New Roman"/>
          <w:color w:val="000000"/>
          <w:sz w:val="24"/>
          <w:szCs w:val="24"/>
        </w:rPr>
        <w:t> và</w:t>
      </w:r>
      <w:r w:rsidRPr="0086320A">
        <w:rPr>
          <w:rFonts w:eastAsia="Times New Roman" w:cs="Times New Roman"/>
          <w:color w:val="000000"/>
          <w:sz w:val="24"/>
          <w:szCs w:val="24"/>
          <w:lang w:val="vi-VN"/>
        </w:rPr>
        <w:t> việc thu hồi nợ sau khi đã sử dụng dự phòng để xử lý rủi ro của tháng trước trong toàn hệ thống; đề xuất Hội đồng xử lý rủi ro việc phân loại nợ, cam kết ngoại bảng, trích lập và sử dụng dự phòng để xử lý rủi ro, các biện pháp quản lý nợ xấu, thu hồi nợ triệt để;</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lastRenderedPageBreak/>
        <w:t>d) Quản lý, theo dõi các đơn vị, cá nhân trong việc thực hiện quy định tại điểm đ khoản 3 Điều 6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đ) Cung cấp thông tin, phối hợp với các đơn vị chức năng tại trụ sở chính trong việc xây dựng trình Tổng giám đốc (Giám đốc) để trình Hội đồng quản trị, Hội đồng thành viên (đối với tổ chức tín dụng) hoặc trình Tổng giám đốc (Giám đốc) (đối với chi nhánh ngân hàng nước ngoài) ban hành hoặc sửa đổi, bổ sung quy định nội bộ về cấp tín dụng, quản lý nợ của tổ chức tín dụng, chi nhánh ngân hàng nước ngoài;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e) Thực hiện nhiệm vụ khác theo quy định của tổ chức tín dụng, chi nhánh ngân hàng nước ngoài.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Mục 5</w:t>
      </w:r>
      <w:r w:rsidRPr="0086320A">
        <w:rPr>
          <w:rFonts w:eastAsia="Times New Roman" w:cs="Times New Roman"/>
          <w:b/>
          <w:bCs/>
          <w:color w:val="000000"/>
          <w:sz w:val="24"/>
          <w:szCs w:val="24"/>
        </w:rPr>
        <w:t>. </w:t>
      </w:r>
      <w:r w:rsidRPr="0086320A">
        <w:rPr>
          <w:rFonts w:eastAsia="Times New Roman" w:cs="Times New Roman"/>
          <w:b/>
          <w:bCs/>
          <w:color w:val="000000"/>
          <w:sz w:val="24"/>
          <w:szCs w:val="24"/>
          <w:lang w:val="vi-VN"/>
        </w:rPr>
        <w:t>HẠCH TOÁN, BÁO CÁO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Điều 2</w:t>
      </w:r>
      <w:r w:rsidRPr="0086320A">
        <w:rPr>
          <w:rFonts w:eastAsia="Times New Roman" w:cs="Times New Roman"/>
          <w:b/>
          <w:bCs/>
          <w:color w:val="000000"/>
          <w:sz w:val="24"/>
          <w:szCs w:val="24"/>
        </w:rPr>
        <w:t>1</w:t>
      </w:r>
      <w:r w:rsidRPr="0086320A">
        <w:rPr>
          <w:rFonts w:eastAsia="Times New Roman" w:cs="Times New Roman"/>
          <w:b/>
          <w:bCs/>
          <w:color w:val="000000"/>
          <w:sz w:val="24"/>
          <w:szCs w:val="24"/>
          <w:lang w:val="vi-VN"/>
        </w:rPr>
        <w:t>. Hạch toán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Tổ chức tín dụng, chi nhánh ngân hàng nước ngoài thực hiện hạch toán số tiền trích lập, sử dụng, bổ sung, hoàn nhập dự phòng cụ thể và dự phòng chung theo các quy định của pháp luật về chế độ hạch toán kế toán của tổ chức tín dụng, chi nhánh ngân hàng nước ngoài.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Điều 2</w:t>
      </w:r>
      <w:r w:rsidRPr="0086320A">
        <w:rPr>
          <w:rFonts w:eastAsia="Times New Roman" w:cs="Times New Roman"/>
          <w:b/>
          <w:bCs/>
          <w:color w:val="000000"/>
          <w:sz w:val="24"/>
          <w:szCs w:val="24"/>
        </w:rPr>
        <w:t>2</w:t>
      </w:r>
      <w:r w:rsidRPr="0086320A">
        <w:rPr>
          <w:rFonts w:eastAsia="Times New Roman" w:cs="Times New Roman"/>
          <w:b/>
          <w:bCs/>
          <w:color w:val="000000"/>
          <w:sz w:val="24"/>
          <w:szCs w:val="24"/>
          <w:lang w:val="vi-VN"/>
        </w:rPr>
        <w:t>. Báo cáo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1. Tổ chức tín dụng, chi nhánh ngân hàng nước ngoài phải báo cáo kết quả phân loại nợ, cam kết ngoại bảng, trích lập, sử dụng dự phòng rủi ro</w:t>
      </w:r>
      <w:r w:rsidRPr="0086320A">
        <w:rPr>
          <w:rFonts w:eastAsia="Times New Roman" w:cs="Times New Roman"/>
          <w:color w:val="000000"/>
          <w:sz w:val="24"/>
          <w:szCs w:val="24"/>
        </w:rPr>
        <w:t> và xử lý tổn thất</w:t>
      </w:r>
      <w:r w:rsidRPr="0086320A">
        <w:rPr>
          <w:rFonts w:eastAsia="Times New Roman" w:cs="Times New Roman"/>
          <w:color w:val="000000"/>
          <w:sz w:val="24"/>
          <w:szCs w:val="24"/>
          <w:lang w:val="vi-VN"/>
        </w:rPr>
        <w:t> theo quy định về </w:t>
      </w:r>
      <w:r w:rsidRPr="0086320A">
        <w:rPr>
          <w:rFonts w:eastAsia="Times New Roman" w:cs="Times New Roman"/>
          <w:color w:val="000000"/>
          <w:sz w:val="24"/>
          <w:szCs w:val="24"/>
        </w:rPr>
        <w:t>c</w:t>
      </w:r>
      <w:r w:rsidRPr="0086320A">
        <w:rPr>
          <w:rFonts w:eastAsia="Times New Roman" w:cs="Times New Roman"/>
          <w:color w:val="000000"/>
          <w:sz w:val="24"/>
          <w:szCs w:val="24"/>
          <w:lang w:val="vi-VN"/>
        </w:rPr>
        <w:t>hế độ báo cáo thống kê áp dụng đối với các tổ chức tín dụng, chi nhánh ngân hàng nước ngoài do Ngân hàng Nhà nước ban hành.</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2. Tổ chức tín dụng, chi nhánh ngân hàng nước ngoài có trách nhiệm cung cấp cho CIC những thông tin theo quy định về hoạt động thông tin tín dụng của Ngân hàng Nhà nước và theo quy định tại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3. Tổ chức tín dụng, chi nhánh ngân hàng nước ngoài phải báo cáo kết quả phân loại nợ, cam kết ngoại bảng, trích lập và sử dụng dự phòng rủi ro, kết quả thu hồi nợ cho Tổng Cục thuế và Cục thuế tỉnh, thành phố nơi tổ chức tín dụng, chi nhánh ngân hàng nước ngoài đặt trụ sở chính theo quy định về báo cáo thuế.</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rPr>
        <w:t>4. Hằng năm, tổ chức tín dụng, chi nhánh ngân hàng nước ngoài phải báo cáo Đại hội đồng cổ đông (đối với tổ chức tín dụng là công ty cổ phần), chủ sở hữu (đối với tổ chức tín dụng là công ty trách nhiệm hữu hạn một thành viên), thành viên góp vốn (đối với tổ chức tín dụng là công ty trách nhiệm hữu hạn hai thành viên trở lên) về kết quả phân loại nợ, cam kết ngoại bảng, trích lập dự phòng rủi ro, kết quả sử dụng dự phòng rủi ro và kết quả xử lý tổn thất.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Chương III</w:t>
      </w:r>
    </w:p>
    <w:p w:rsidR="0086320A" w:rsidRPr="0086320A" w:rsidRDefault="0086320A" w:rsidP="0086320A">
      <w:pPr>
        <w:shd w:val="clear" w:color="auto" w:fill="FFFFFF"/>
        <w:spacing w:before="120" w:after="0" w:line="240" w:lineRule="auto"/>
        <w:jc w:val="center"/>
        <w:rPr>
          <w:rFonts w:eastAsia="Times New Roman" w:cs="Times New Roman"/>
          <w:color w:val="000000"/>
          <w:sz w:val="24"/>
          <w:szCs w:val="24"/>
        </w:rPr>
      </w:pPr>
      <w:r w:rsidRPr="0086320A">
        <w:rPr>
          <w:rFonts w:eastAsia="Times New Roman" w:cs="Times New Roman"/>
          <w:b/>
          <w:bCs/>
          <w:color w:val="000000"/>
          <w:sz w:val="24"/>
          <w:szCs w:val="24"/>
          <w:lang w:val="vi-VN"/>
        </w:rPr>
        <w:t>TRÁCH NHIỆM CỦA NGÂN HÀNG NHÀ NƯỚC VÀ XỬ LÝ VI PHẠM</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Điều 2</w:t>
      </w:r>
      <w:r w:rsidRPr="0086320A">
        <w:rPr>
          <w:rFonts w:eastAsia="Times New Roman" w:cs="Times New Roman"/>
          <w:b/>
          <w:bCs/>
          <w:color w:val="000000"/>
          <w:sz w:val="24"/>
          <w:szCs w:val="24"/>
        </w:rPr>
        <w:t>3</w:t>
      </w:r>
      <w:r w:rsidRPr="0086320A">
        <w:rPr>
          <w:rFonts w:eastAsia="Times New Roman" w:cs="Times New Roman"/>
          <w:b/>
          <w:bCs/>
          <w:color w:val="000000"/>
          <w:sz w:val="24"/>
          <w:szCs w:val="24"/>
          <w:lang w:val="vi-VN"/>
        </w:rPr>
        <w:t>. Trách nhiệm của Ngân hàng Nhà nước</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1. Cơ quan Thanh tra, giám sát ngân hàng có trách nhiệm:</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Tiếp nhận quy định nội bộ về cấp tín dụng, quản lý nợ, chính sách dự phòng rủi ro của tổ chức tín dụng, chi nhánh ngân hàng nước ngoài theo quy định </w:t>
      </w:r>
      <w:r w:rsidRPr="0086320A">
        <w:rPr>
          <w:rFonts w:eastAsia="Times New Roman" w:cs="Times New Roman"/>
          <w:color w:val="000000"/>
          <w:sz w:val="24"/>
          <w:szCs w:val="24"/>
        </w:rPr>
        <w:t>tại </w:t>
      </w:r>
      <w:r w:rsidRPr="0086320A">
        <w:rPr>
          <w:rFonts w:eastAsia="Times New Roman" w:cs="Times New Roman"/>
          <w:color w:val="000000"/>
          <w:sz w:val="24"/>
          <w:szCs w:val="24"/>
          <w:lang w:val="vi-VN"/>
        </w:rPr>
        <w:t>Điều 6 Thông tư này để phục vụ cho công tác giám sát an toàn vi mô, thanh tra</w:t>
      </w:r>
      <w:r w:rsidRPr="0086320A">
        <w:rPr>
          <w:rFonts w:eastAsia="Times New Roman" w:cs="Times New Roman"/>
          <w:color w:val="000000"/>
          <w:sz w:val="24"/>
          <w:szCs w:val="24"/>
        </w:rPr>
        <w: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Kiểm tra, thanh tra việc tổ chức tín dụng, chi nhánh ngân hàng nước ngoài thực hiện các quy định nội bộ về cấp tín dụng, quản lý nợ, chính sách dự phòng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lastRenderedPageBreak/>
        <w:t>c) Kiểm tra, thanh tra việc thực hiện phân loại nợ, cam kết ngoại bảng, trích lập và sử dụng dự phòng rủi ro của tổ chức tín dụng, chi nhánh ngân hàng nước ngoài;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d) Xử lý vi phạm của tổ chức tín dụng, chi nhánh ngân hàng nước ngoài theo quy định tại Điều 2</w:t>
      </w:r>
      <w:r w:rsidRPr="0086320A">
        <w:rPr>
          <w:rFonts w:eastAsia="Times New Roman" w:cs="Times New Roman"/>
          <w:color w:val="000000"/>
          <w:sz w:val="24"/>
          <w:szCs w:val="24"/>
        </w:rPr>
        <w:t>4</w:t>
      </w:r>
      <w:r w:rsidRPr="0086320A">
        <w:rPr>
          <w:rFonts w:eastAsia="Times New Roman" w:cs="Times New Roman"/>
          <w:color w:val="000000"/>
          <w:sz w:val="24"/>
          <w:szCs w:val="24"/>
          <w:lang w:val="vi-VN"/>
        </w:rPr>
        <w:t> Thông tư này theo thẩm quyền;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rPr>
        <w:t>đ</w:t>
      </w:r>
      <w:r w:rsidRPr="0086320A">
        <w:rPr>
          <w:rFonts w:eastAsia="Times New Roman" w:cs="Times New Roman"/>
          <w:color w:val="000000"/>
          <w:sz w:val="24"/>
          <w:szCs w:val="24"/>
          <w:lang w:val="vi-VN"/>
        </w:rPr>
        <w:t>) Xử lý hồ sơ chấp thuận đề nghị của chi nhánh ngân hàng nước ngoài cho phép áp dụng chính sách dự phòng rủi ro của ngân hàng nước ngoài và đề nghị của tổ chức tín dụng, chi nhánh ngân hàng nước ngoài chấp thuận thực hiện phân loại nợ</w:t>
      </w:r>
      <w:r w:rsidRPr="0086320A">
        <w:rPr>
          <w:rFonts w:eastAsia="Times New Roman" w:cs="Times New Roman"/>
          <w:color w:val="000000"/>
          <w:sz w:val="24"/>
          <w:szCs w:val="24"/>
        </w:rPr>
        <w:t>,</w:t>
      </w:r>
      <w:r w:rsidRPr="0086320A">
        <w:rPr>
          <w:rFonts w:eastAsia="Times New Roman" w:cs="Times New Roman"/>
          <w:color w:val="000000"/>
          <w:sz w:val="24"/>
          <w:szCs w:val="24"/>
          <w:lang w:val="vi-VN"/>
        </w:rPr>
        <w:t> cam kết ngoại bảng theo phương pháp định tính.</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2. Vụ Dự báo,</w:t>
      </w:r>
      <w:r w:rsidRPr="0086320A">
        <w:rPr>
          <w:rFonts w:eastAsia="Times New Roman" w:cs="Times New Roman"/>
          <w:color w:val="000000"/>
          <w:sz w:val="24"/>
          <w:szCs w:val="24"/>
        </w:rPr>
        <w:t> t</w:t>
      </w:r>
      <w:r w:rsidRPr="0086320A">
        <w:rPr>
          <w:rFonts w:eastAsia="Times New Roman" w:cs="Times New Roman"/>
          <w:color w:val="000000"/>
          <w:sz w:val="24"/>
          <w:szCs w:val="24"/>
          <w:lang w:val="vi-VN"/>
        </w:rPr>
        <w:t>hống kê đầu mối, phối hợp với các đơn vị có liên quan trình Thống đốc Ngân hàng Nhà nước ban hành quy định về chế độ báo cáo thống kê việc phân loại nợ, cam kết ngoại bảng, trích lập, sử dụng dự phòng rủi ro</w:t>
      </w:r>
      <w:r w:rsidRPr="0086320A">
        <w:rPr>
          <w:rFonts w:eastAsia="Times New Roman" w:cs="Times New Roman"/>
          <w:color w:val="000000"/>
          <w:sz w:val="24"/>
          <w:szCs w:val="24"/>
        </w:rPr>
        <w:t> và xử lý tổn thất</w:t>
      </w:r>
      <w:r w:rsidRPr="0086320A">
        <w:rPr>
          <w:rFonts w:eastAsia="Times New Roman" w:cs="Times New Roman"/>
          <w:color w:val="000000"/>
          <w:sz w:val="24"/>
          <w:szCs w:val="24"/>
          <w:lang w:val="vi-VN"/>
        </w:rPr>
        <w:t> trong hoạt động của tổ chức tín dụng, chi nhánh ngân hàng nước ngoài.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3. Vụ Tài chính - Kế toán căn cứ quy định tại Thông tư này xây dựng, trình Thống đốc Ngân hàng Nhà nước văn bản hướng dẫn thực hiện chế độ hạch toán có liên quan theo quy định của pháp luật.</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4. </w:t>
      </w:r>
      <w:r w:rsidRPr="0086320A">
        <w:rPr>
          <w:rFonts w:eastAsia="Times New Roman" w:cs="Times New Roman"/>
          <w:color w:val="000000"/>
          <w:sz w:val="24"/>
          <w:szCs w:val="24"/>
        </w:rPr>
        <w:t>CIC</w:t>
      </w:r>
      <w:r w:rsidRPr="0086320A">
        <w:rPr>
          <w:rFonts w:eastAsia="Times New Roman" w:cs="Times New Roman"/>
          <w:color w:val="000000"/>
          <w:sz w:val="24"/>
          <w:szCs w:val="24"/>
          <w:lang w:val="vi-VN"/>
        </w:rPr>
        <w:t> có trách nhiệm tổng hợp, cung cấp danh sách khách hàng theo nhóm nợ có mức độ rủi ro cao nhất cho các tổ chức tín dụng, chi nhánh ngân hàng nước ngoài theo quy định tại khoản 2 Điều 8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5. Ngân hàng Nhà nước chi nhánh tỉnh, thành phố trực thuộc trung ương có trách nhiệm:</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Tiếp nhận quy định nội bộ về cấp tín dụng, quản lý nợ, chính sách dự phòng rủi ro của tổ chức tín dụng, chi nhánh ngân hàng nước ngoài theo quy định </w:t>
      </w:r>
      <w:r w:rsidRPr="0086320A">
        <w:rPr>
          <w:rFonts w:eastAsia="Times New Roman" w:cs="Times New Roman"/>
          <w:color w:val="000000"/>
          <w:sz w:val="24"/>
          <w:szCs w:val="24"/>
        </w:rPr>
        <w:t>tại </w:t>
      </w:r>
      <w:r w:rsidRPr="0086320A">
        <w:rPr>
          <w:rFonts w:eastAsia="Times New Roman" w:cs="Times New Roman"/>
          <w:color w:val="000000"/>
          <w:sz w:val="24"/>
          <w:szCs w:val="24"/>
          <w:lang w:val="vi-VN"/>
        </w:rPr>
        <w:t>Điều 6 Thông tư này để phục vụ cho công tác giám sát an toàn vi mô, thanh tra.</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Kiểm tra, thanh tra việc chi nhánh của tổ chức tín dụng trên địa bàn, chi nhánh ngân hàng nước ngoài thuộc đối tượng giám sát an toàn vi mô thực hiện các quy định nội bộ về cấp tín dụng, quản lý nợ, chính sách dự phòng rủi ro;</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 Kiểm tra, thanh tra việc thực hiện phân loại nợ, cam kết ngoại bảng, trích lập và sử dụng dự phòng rủi ro của chi nhánh của tổ chức tín dụng trên địa bàn, chi nhánh ngân hàng nước ngoài thuộc đối tượng giám sát an toàn vi mô;</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d) Xử lý vi phạm của chi nhánh của tổ chức tín dụng trên địa bàn, chi nhánh ngân hàng nước ngoài thuộc đối tượng giám sát an toàn vi mô theo quy định tại Điều 2</w:t>
      </w:r>
      <w:r w:rsidRPr="0086320A">
        <w:rPr>
          <w:rFonts w:eastAsia="Times New Roman" w:cs="Times New Roman"/>
          <w:color w:val="000000"/>
          <w:sz w:val="24"/>
          <w:szCs w:val="24"/>
        </w:rPr>
        <w:t>4</w:t>
      </w:r>
      <w:r w:rsidRPr="0086320A">
        <w:rPr>
          <w:rFonts w:eastAsia="Times New Roman" w:cs="Times New Roman"/>
          <w:color w:val="000000"/>
          <w:sz w:val="24"/>
          <w:szCs w:val="24"/>
          <w:lang w:val="vi-VN"/>
        </w:rPr>
        <w:t> Thông tư này theo thẩm quyền.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Điều 2</w:t>
      </w:r>
      <w:r w:rsidRPr="0086320A">
        <w:rPr>
          <w:rFonts w:eastAsia="Times New Roman" w:cs="Times New Roman"/>
          <w:b/>
          <w:bCs/>
          <w:color w:val="000000"/>
          <w:sz w:val="24"/>
          <w:szCs w:val="24"/>
        </w:rPr>
        <w:t>4</w:t>
      </w:r>
      <w:r w:rsidRPr="0086320A">
        <w:rPr>
          <w:rFonts w:eastAsia="Times New Roman" w:cs="Times New Roman"/>
          <w:b/>
          <w:bCs/>
          <w:color w:val="000000"/>
          <w:sz w:val="24"/>
          <w:szCs w:val="24"/>
          <w:lang w:val="vi-VN"/>
        </w:rPr>
        <w:t>. Xử lý vi phạm</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Tổ chức tín dụng, chi nhánh ngân hàng nước ngoài và cá nhân có liên quan vi phạm các quy định tại Thông tư này, ngoài việc phải thực hiện phân loại nợ, cam kết ngoại bảng, trích lập dự phòng rủi ro, sử dụng dự phòng rủi ro đối với nợ theo đúng quy định tại Thông tư này, theo tính chất và mức độ vi phạm sẽ bị xử lý theo quy định về xử phạt vi phạm hành chính trong lĩnh vực tiền tệ và hoạt động ngân hàng.</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Chương IV</w:t>
      </w:r>
    </w:p>
    <w:p w:rsidR="0086320A" w:rsidRPr="0086320A" w:rsidRDefault="0086320A" w:rsidP="0086320A">
      <w:pPr>
        <w:shd w:val="clear" w:color="auto" w:fill="FFFFFF"/>
        <w:spacing w:before="120" w:after="0" w:line="240" w:lineRule="auto"/>
        <w:jc w:val="center"/>
        <w:rPr>
          <w:rFonts w:eastAsia="Times New Roman" w:cs="Times New Roman"/>
          <w:color w:val="000000"/>
          <w:sz w:val="24"/>
          <w:szCs w:val="24"/>
        </w:rPr>
      </w:pPr>
      <w:r w:rsidRPr="0086320A">
        <w:rPr>
          <w:rFonts w:eastAsia="Times New Roman" w:cs="Times New Roman"/>
          <w:b/>
          <w:bCs/>
          <w:color w:val="000000"/>
          <w:sz w:val="24"/>
          <w:szCs w:val="24"/>
          <w:lang w:val="vi-VN"/>
        </w:rPr>
        <w:t>ĐIỀU KHOẢN THI HÀNH </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Điều 2</w:t>
      </w:r>
      <w:r w:rsidRPr="0086320A">
        <w:rPr>
          <w:rFonts w:eastAsia="Times New Roman" w:cs="Times New Roman"/>
          <w:b/>
          <w:bCs/>
          <w:color w:val="000000"/>
          <w:sz w:val="24"/>
          <w:szCs w:val="24"/>
        </w:rPr>
        <w:t>5</w:t>
      </w:r>
      <w:r w:rsidRPr="0086320A">
        <w:rPr>
          <w:rFonts w:eastAsia="Times New Roman" w:cs="Times New Roman"/>
          <w:b/>
          <w:bCs/>
          <w:color w:val="000000"/>
          <w:sz w:val="24"/>
          <w:szCs w:val="24"/>
          <w:lang w:val="vi-VN"/>
        </w:rPr>
        <w:t>. Quy định chuyển tiếp</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lastRenderedPageBreak/>
        <w:t>1. Tổ chức tín dụng đã được Thống đốc Ngân hàng Nhà nước quyết định các biện pháp cụ thể về phân loại nợ, cam kết ngoại bảng, trích lập và sử dụng dự phòng để xử lý rủi ro trước ngày Thông tư này có hiệu lực thi hành thì thực hiện theo quyết định đó của Thống đốc Ngân hàng Nhà nước.</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2. Tổ chức tín dụng, chi nhánh ngân hàng nước ngoài được Ngân hàng Nhà nước chấp thuận thực hiện phân loại nợ</w:t>
      </w:r>
      <w:r w:rsidRPr="0086320A">
        <w:rPr>
          <w:rFonts w:eastAsia="Times New Roman" w:cs="Times New Roman"/>
          <w:color w:val="000000"/>
          <w:sz w:val="24"/>
          <w:szCs w:val="24"/>
        </w:rPr>
        <w:t>, </w:t>
      </w:r>
      <w:r w:rsidRPr="0086320A">
        <w:rPr>
          <w:rFonts w:eastAsia="Times New Roman" w:cs="Times New Roman"/>
          <w:color w:val="000000"/>
          <w:sz w:val="24"/>
          <w:szCs w:val="24"/>
          <w:lang w:val="vi-VN"/>
        </w:rPr>
        <w:t>cam kết ngoại bảng theo phương pháp định tính trước ngày Thông tư này có hiệu lực thi hành, tiếp tục thực hiện theo văn bản chấp thuận</w:t>
      </w:r>
      <w:r w:rsidRPr="0086320A">
        <w:rPr>
          <w:rFonts w:eastAsia="Times New Roman" w:cs="Times New Roman"/>
          <w:color w:val="000000"/>
          <w:sz w:val="24"/>
          <w:szCs w:val="24"/>
        </w:rPr>
        <w:t> đó</w:t>
      </w:r>
      <w:r w:rsidRPr="0086320A">
        <w:rPr>
          <w:rFonts w:eastAsia="Times New Roman" w:cs="Times New Roman"/>
          <w:color w:val="000000"/>
          <w:sz w:val="24"/>
          <w:szCs w:val="24"/>
          <w:lang w:val="vi-VN"/>
        </w:rPr>
        <w:t> của Ngân hàng Nhà nước.</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Điều 26. Điều khoản thi hành</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1. Thông tư này có hiệu lực thi hành kể từ ngày</w:t>
      </w:r>
      <w:r w:rsidRPr="0086320A">
        <w:rPr>
          <w:rFonts w:eastAsia="Times New Roman" w:cs="Times New Roman"/>
          <w:color w:val="000000"/>
          <w:sz w:val="24"/>
          <w:szCs w:val="24"/>
        </w:rPr>
        <w:t> 01</w:t>
      </w:r>
      <w:r w:rsidRPr="0086320A">
        <w:rPr>
          <w:rFonts w:eastAsia="Times New Roman" w:cs="Times New Roman"/>
          <w:color w:val="000000"/>
          <w:sz w:val="24"/>
          <w:szCs w:val="24"/>
          <w:lang w:val="vi-VN"/>
        </w:rPr>
        <w:t> tháng </w:t>
      </w:r>
      <w:r w:rsidRPr="0086320A">
        <w:rPr>
          <w:rFonts w:eastAsia="Times New Roman" w:cs="Times New Roman"/>
          <w:color w:val="000000"/>
          <w:sz w:val="24"/>
          <w:szCs w:val="24"/>
        </w:rPr>
        <w:t>10</w:t>
      </w:r>
      <w:r w:rsidRPr="0086320A">
        <w:rPr>
          <w:rFonts w:eastAsia="Times New Roman" w:cs="Times New Roman"/>
          <w:color w:val="000000"/>
          <w:sz w:val="24"/>
          <w:szCs w:val="24"/>
          <w:lang w:val="vi-VN"/>
        </w:rPr>
        <w:t> năm 2021.</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rPr>
        <w:t>2. </w:t>
      </w:r>
      <w:r w:rsidRPr="0086320A">
        <w:rPr>
          <w:rFonts w:eastAsia="Times New Roman" w:cs="Times New Roman"/>
          <w:color w:val="000000"/>
          <w:sz w:val="24"/>
          <w:szCs w:val="24"/>
          <w:lang w:val="vi-VN"/>
        </w:rPr>
        <w:t>Các quy định sau đây hết hiệu lực thi hành kể từ ngày Thông tư này có hiệu lực thi hành:</w:t>
      </w:r>
    </w:p>
    <w:p w:rsidR="0086320A" w:rsidRPr="0086320A" w:rsidRDefault="0086320A" w:rsidP="0086320A">
      <w:pPr>
        <w:shd w:val="clear" w:color="auto" w:fill="FFFFFF"/>
        <w:spacing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a) Thông tư số </w:t>
      </w:r>
      <w:hyperlink r:id="rId7" w:tgtFrame="_blank" w:tooltip="Thông tư 02/2013/TT-NHNN" w:history="1">
        <w:r w:rsidRPr="0086320A">
          <w:rPr>
            <w:sz w:val="24"/>
            <w:szCs w:val="24"/>
            <w:lang w:val="vi-VN"/>
          </w:rPr>
          <w:t>02/2013/TT-NHNN</w:t>
        </w:r>
      </w:hyperlink>
      <w:r w:rsidRPr="0086320A">
        <w:rPr>
          <w:rFonts w:eastAsia="Times New Roman" w:cs="Times New Roman"/>
          <w:color w:val="000000"/>
          <w:sz w:val="24"/>
          <w:szCs w:val="24"/>
          <w:lang w:val="vi-VN"/>
        </w:rPr>
        <w:t> ngày 21 tháng 01 năm 2013 của Thống đốc Ngân hàng Nhà nước quy định về phân loại tài sản có, mức trích, phương pháp trích lập dự phòng rủi ro và việc sử dụng dự phòng để xử lý rủi ro trong hoạt động </w:t>
      </w:r>
      <w:r w:rsidRPr="0086320A">
        <w:rPr>
          <w:rFonts w:eastAsia="Times New Roman" w:cs="Times New Roman"/>
          <w:color w:val="000000"/>
          <w:sz w:val="24"/>
          <w:szCs w:val="24"/>
        </w:rPr>
        <w:t>của</w:t>
      </w:r>
      <w:r w:rsidRPr="0086320A">
        <w:rPr>
          <w:rFonts w:eastAsia="Times New Roman" w:cs="Times New Roman"/>
          <w:color w:val="000000"/>
          <w:sz w:val="24"/>
          <w:szCs w:val="24"/>
          <w:lang w:val="vi-VN"/>
        </w:rPr>
        <w:t> tổ chức tín dụng, chi nhánh ngân hàng nước ngoài.</w:t>
      </w:r>
    </w:p>
    <w:p w:rsidR="0086320A" w:rsidRPr="0086320A" w:rsidRDefault="0086320A" w:rsidP="0086320A">
      <w:pPr>
        <w:shd w:val="clear" w:color="auto" w:fill="FFFFFF"/>
        <w:spacing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b) Thông tư số </w:t>
      </w:r>
      <w:hyperlink r:id="rId8" w:tgtFrame="_blank" w:tooltip="Thông tư 09/2014/TT-NHNN" w:history="1">
        <w:r w:rsidRPr="0086320A">
          <w:rPr>
            <w:sz w:val="24"/>
            <w:szCs w:val="24"/>
            <w:lang w:val="vi-VN"/>
          </w:rPr>
          <w:t>09/2014/TT-NHNN</w:t>
        </w:r>
      </w:hyperlink>
      <w:r w:rsidRPr="0086320A">
        <w:rPr>
          <w:rFonts w:eastAsia="Times New Roman" w:cs="Times New Roman"/>
          <w:color w:val="000000"/>
          <w:sz w:val="24"/>
          <w:szCs w:val="24"/>
          <w:lang w:val="vi-VN"/>
        </w:rPr>
        <w:t> ngày 18 tháng 3 năm 201</w:t>
      </w:r>
      <w:r w:rsidRPr="0086320A">
        <w:rPr>
          <w:rFonts w:eastAsia="Times New Roman" w:cs="Times New Roman"/>
          <w:color w:val="000000"/>
          <w:sz w:val="24"/>
          <w:szCs w:val="24"/>
        </w:rPr>
        <w:t>4</w:t>
      </w:r>
      <w:r w:rsidRPr="0086320A">
        <w:rPr>
          <w:rFonts w:eastAsia="Times New Roman" w:cs="Times New Roman"/>
          <w:color w:val="000000"/>
          <w:sz w:val="24"/>
          <w:szCs w:val="24"/>
          <w:lang w:val="vi-VN"/>
        </w:rPr>
        <w:t> của Thống đốc Ngân hàng Nhà nước sửa đổi, bổ sung một số điều của Thông tư số </w:t>
      </w:r>
      <w:hyperlink r:id="rId9" w:tgtFrame="_blank" w:tooltip="Thông tư 02/2013/TT-NHNN" w:history="1">
        <w:r w:rsidRPr="0086320A">
          <w:rPr>
            <w:sz w:val="24"/>
            <w:szCs w:val="24"/>
            <w:lang w:val="vi-VN"/>
          </w:rPr>
          <w:t>02/201</w:t>
        </w:r>
        <w:bookmarkStart w:id="6" w:name="_GoBack"/>
        <w:bookmarkEnd w:id="6"/>
        <w:r w:rsidRPr="0086320A">
          <w:rPr>
            <w:sz w:val="24"/>
            <w:szCs w:val="24"/>
            <w:lang w:val="vi-VN"/>
          </w:rPr>
          <w:t>3/TT-NHNN</w:t>
        </w:r>
      </w:hyperlink>
      <w:r w:rsidRPr="0086320A">
        <w:rPr>
          <w:rFonts w:eastAsia="Times New Roman" w:cs="Times New Roman"/>
          <w:color w:val="000000"/>
          <w:sz w:val="24"/>
          <w:szCs w:val="24"/>
          <w:lang w:val="vi-VN"/>
        </w:rPr>
        <w:t> ngày 21 tháng 01 năm 2013 của Thống đốc Ngân hàng Nhà nước quy định về phân loại tài sản có, mức trích, phương pháp trích lập dự phòng rủi ro và việc sử dụng dự phòng để xử lý rủi ro trong hoạt động </w:t>
      </w:r>
      <w:r w:rsidRPr="0086320A">
        <w:rPr>
          <w:rFonts w:eastAsia="Times New Roman" w:cs="Times New Roman"/>
          <w:color w:val="000000"/>
          <w:sz w:val="24"/>
          <w:szCs w:val="24"/>
        </w:rPr>
        <w:t>của</w:t>
      </w:r>
      <w:r w:rsidRPr="0086320A">
        <w:rPr>
          <w:rFonts w:eastAsia="Times New Roman" w:cs="Times New Roman"/>
          <w:color w:val="000000"/>
          <w:sz w:val="24"/>
          <w:szCs w:val="24"/>
          <w:lang w:val="vi-VN"/>
        </w:rPr>
        <w:t> tổ chức tín dụng, chi nhánh ngân hàng nước ngoài.</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b/>
          <w:bCs/>
          <w:color w:val="000000"/>
          <w:sz w:val="24"/>
          <w:szCs w:val="24"/>
          <w:lang w:val="vi-VN"/>
        </w:rPr>
        <w:t>Điều 27. Tổ chức thực hiện</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lang w:val="vi-VN"/>
        </w:rPr>
        <w:t>Chánh Văn phòng, Chánh Thanh tra, giám sát ngân hàng, Thủ trưởng đơn vị thuộc Ngân hàng Nhà nước Việt Nam, tổ chức tín dụng, chi nhánh ngân hàng nước ngoài chịu trách nhiệm tổ chức thực hiện Thông tư này./.</w:t>
      </w:r>
    </w:p>
    <w:p w:rsidR="0086320A" w:rsidRPr="0086320A" w:rsidRDefault="0086320A" w:rsidP="0086320A">
      <w:pPr>
        <w:shd w:val="clear" w:color="auto" w:fill="FFFFFF"/>
        <w:spacing w:before="120" w:after="0" w:line="240" w:lineRule="auto"/>
        <w:rPr>
          <w:rFonts w:eastAsia="Times New Roman" w:cs="Times New Roman"/>
          <w:color w:val="000000"/>
          <w:sz w:val="24"/>
          <w:szCs w:val="24"/>
        </w:rPr>
      </w:pPr>
      <w:r w:rsidRPr="0086320A">
        <w:rPr>
          <w:rFonts w:eastAsia="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8"/>
        <w:gridCol w:w="4788"/>
      </w:tblGrid>
      <w:tr w:rsidR="0086320A" w:rsidRPr="0086320A" w:rsidTr="0086320A">
        <w:trPr>
          <w:tblCellSpacing w:w="0" w:type="dxa"/>
        </w:trPr>
        <w:tc>
          <w:tcPr>
            <w:tcW w:w="2500" w:type="pct"/>
            <w:shd w:val="clear" w:color="auto" w:fill="FFFFFF"/>
            <w:tcMar>
              <w:top w:w="0" w:type="dxa"/>
              <w:left w:w="108" w:type="dxa"/>
              <w:bottom w:w="0" w:type="dxa"/>
              <w:right w:w="108" w:type="dxa"/>
            </w:tcMar>
            <w:hideMark/>
          </w:tcPr>
          <w:p w:rsidR="0086320A" w:rsidRPr="0086320A" w:rsidRDefault="0086320A" w:rsidP="0086320A">
            <w:pPr>
              <w:spacing w:before="120" w:after="0" w:line="234" w:lineRule="atLeast"/>
              <w:ind w:hanging="2"/>
              <w:rPr>
                <w:rFonts w:eastAsia="Times New Roman" w:cs="Times New Roman"/>
                <w:color w:val="000000"/>
                <w:sz w:val="24"/>
                <w:szCs w:val="24"/>
              </w:rPr>
            </w:pPr>
            <w:r w:rsidRPr="0086320A">
              <w:rPr>
                <w:rFonts w:eastAsia="Times New Roman" w:cs="Times New Roman"/>
                <w:color w:val="000000"/>
                <w:sz w:val="24"/>
                <w:szCs w:val="24"/>
                <w:lang w:val="vi-VN"/>
              </w:rPr>
              <w:t> </w:t>
            </w:r>
          </w:p>
          <w:p w:rsidR="0086320A" w:rsidRPr="0086320A" w:rsidRDefault="0086320A" w:rsidP="0086320A">
            <w:pPr>
              <w:spacing w:before="120" w:after="0" w:line="234" w:lineRule="atLeast"/>
              <w:ind w:hanging="2"/>
              <w:rPr>
                <w:rFonts w:eastAsia="Times New Roman" w:cs="Times New Roman"/>
                <w:color w:val="000000"/>
                <w:sz w:val="24"/>
                <w:szCs w:val="24"/>
              </w:rPr>
            </w:pPr>
            <w:r w:rsidRPr="0086320A">
              <w:rPr>
                <w:rFonts w:eastAsia="Times New Roman" w:cs="Times New Roman"/>
                <w:b/>
                <w:bCs/>
                <w:i/>
                <w:iCs/>
                <w:color w:val="000000"/>
                <w:sz w:val="24"/>
                <w:szCs w:val="24"/>
                <w:lang w:val="vi-VN"/>
              </w:rPr>
              <w:t>Nơi nhận:</w:t>
            </w:r>
            <w:r w:rsidRPr="0086320A">
              <w:rPr>
                <w:rFonts w:eastAsia="Times New Roman" w:cs="Times New Roman"/>
                <w:b/>
                <w:bCs/>
                <w:i/>
                <w:iCs/>
                <w:color w:val="000000"/>
                <w:sz w:val="24"/>
                <w:szCs w:val="24"/>
                <w:lang w:val="vi-VN"/>
              </w:rPr>
              <w:br/>
            </w:r>
            <w:r w:rsidRPr="0086320A">
              <w:rPr>
                <w:rFonts w:eastAsia="Times New Roman" w:cs="Times New Roman"/>
                <w:color w:val="000000"/>
                <w:sz w:val="24"/>
                <w:szCs w:val="24"/>
                <w:lang w:val="vi-VN"/>
              </w:rPr>
              <w:t>- Như Điều 2</w:t>
            </w:r>
            <w:r w:rsidRPr="0086320A">
              <w:rPr>
                <w:rFonts w:eastAsia="Times New Roman" w:cs="Times New Roman"/>
                <w:color w:val="000000"/>
                <w:sz w:val="24"/>
                <w:szCs w:val="24"/>
              </w:rPr>
              <w:t>7</w:t>
            </w:r>
            <w:r w:rsidRPr="0086320A">
              <w:rPr>
                <w:rFonts w:eastAsia="Times New Roman" w:cs="Times New Roman"/>
                <w:color w:val="000000"/>
                <w:sz w:val="24"/>
                <w:szCs w:val="24"/>
                <w:lang w:val="vi-VN"/>
              </w:rPr>
              <w:t>;</w:t>
            </w:r>
            <w:r w:rsidRPr="0086320A">
              <w:rPr>
                <w:rFonts w:eastAsia="Times New Roman" w:cs="Times New Roman"/>
                <w:color w:val="000000"/>
                <w:sz w:val="24"/>
                <w:szCs w:val="24"/>
                <w:lang w:val="vi-VN"/>
              </w:rPr>
              <w:br/>
              <w:t>- Văn phòng Chính phủ;</w:t>
            </w:r>
            <w:r w:rsidRPr="0086320A">
              <w:rPr>
                <w:rFonts w:eastAsia="Times New Roman" w:cs="Times New Roman"/>
                <w:color w:val="000000"/>
                <w:sz w:val="24"/>
                <w:szCs w:val="24"/>
                <w:lang w:val="vi-VN"/>
              </w:rPr>
              <w:br/>
              <w:t>- Bộ Tư pháp (để kiểm tra);</w:t>
            </w:r>
            <w:r w:rsidRPr="0086320A">
              <w:rPr>
                <w:rFonts w:eastAsia="Times New Roman" w:cs="Times New Roman"/>
                <w:color w:val="000000"/>
                <w:sz w:val="24"/>
                <w:szCs w:val="24"/>
                <w:lang w:val="vi-VN"/>
              </w:rPr>
              <w:br/>
              <w:t>- Bộ Tài chính (để phối hợp);</w:t>
            </w:r>
            <w:r w:rsidRPr="0086320A">
              <w:rPr>
                <w:rFonts w:eastAsia="Times New Roman" w:cs="Times New Roman"/>
                <w:color w:val="000000"/>
                <w:sz w:val="24"/>
                <w:szCs w:val="24"/>
                <w:lang w:val="vi-VN"/>
              </w:rPr>
              <w:br/>
              <w:t>- Công báo;</w:t>
            </w:r>
            <w:r w:rsidRPr="0086320A">
              <w:rPr>
                <w:rFonts w:eastAsia="Times New Roman" w:cs="Times New Roman"/>
                <w:color w:val="000000"/>
                <w:sz w:val="24"/>
                <w:szCs w:val="24"/>
                <w:lang w:val="vi-VN"/>
              </w:rPr>
              <w:br/>
              <w:t>- Lưu VP, PC, TTGSNH6 (3 bản).</w:t>
            </w:r>
          </w:p>
        </w:tc>
        <w:tc>
          <w:tcPr>
            <w:tcW w:w="2500" w:type="pct"/>
            <w:shd w:val="clear" w:color="auto" w:fill="FFFFFF"/>
            <w:tcMar>
              <w:top w:w="0" w:type="dxa"/>
              <w:left w:w="108" w:type="dxa"/>
              <w:bottom w:w="0" w:type="dxa"/>
              <w:right w:w="108" w:type="dxa"/>
            </w:tcMar>
            <w:hideMark/>
          </w:tcPr>
          <w:p w:rsidR="0086320A" w:rsidRPr="0086320A" w:rsidRDefault="0086320A" w:rsidP="0086320A">
            <w:pPr>
              <w:spacing w:before="120" w:after="0" w:line="234" w:lineRule="atLeast"/>
              <w:ind w:hanging="2"/>
              <w:jc w:val="center"/>
              <w:rPr>
                <w:rFonts w:eastAsia="Times New Roman" w:cs="Times New Roman"/>
                <w:color w:val="000000"/>
                <w:sz w:val="24"/>
                <w:szCs w:val="24"/>
              </w:rPr>
            </w:pPr>
            <w:r w:rsidRPr="0086320A">
              <w:rPr>
                <w:rFonts w:eastAsia="Times New Roman" w:cs="Times New Roman"/>
                <w:b/>
                <w:bCs/>
                <w:color w:val="000000"/>
                <w:sz w:val="24"/>
                <w:szCs w:val="24"/>
              </w:rPr>
              <w:t>KT. </w:t>
            </w:r>
            <w:r w:rsidRPr="0086320A">
              <w:rPr>
                <w:rFonts w:eastAsia="Times New Roman" w:cs="Times New Roman"/>
                <w:b/>
                <w:bCs/>
                <w:color w:val="000000"/>
                <w:sz w:val="24"/>
                <w:szCs w:val="24"/>
                <w:lang w:val="vi-VN"/>
              </w:rPr>
              <w:t>THỐNG ĐỐC</w:t>
            </w:r>
            <w:r w:rsidRPr="0086320A">
              <w:rPr>
                <w:rFonts w:eastAsia="Times New Roman" w:cs="Times New Roman"/>
                <w:b/>
                <w:bCs/>
                <w:color w:val="000000"/>
                <w:sz w:val="24"/>
                <w:szCs w:val="24"/>
                <w:lang w:val="vi-VN"/>
              </w:rPr>
              <w:br/>
            </w:r>
            <w:r w:rsidRPr="0086320A">
              <w:rPr>
                <w:rFonts w:eastAsia="Times New Roman" w:cs="Times New Roman"/>
                <w:b/>
                <w:bCs/>
                <w:color w:val="000000"/>
                <w:sz w:val="24"/>
                <w:szCs w:val="24"/>
              </w:rPr>
              <w:t>PHÓ THỐNG ĐỐC</w:t>
            </w:r>
            <w:r w:rsidRPr="0086320A">
              <w:rPr>
                <w:rFonts w:eastAsia="Times New Roman" w:cs="Times New Roman"/>
                <w:b/>
                <w:bCs/>
                <w:color w:val="000000"/>
                <w:sz w:val="24"/>
                <w:szCs w:val="24"/>
              </w:rPr>
              <w:br/>
            </w:r>
            <w:r w:rsidRPr="0086320A">
              <w:rPr>
                <w:rFonts w:eastAsia="Times New Roman" w:cs="Times New Roman"/>
                <w:b/>
                <w:bCs/>
                <w:color w:val="000000"/>
                <w:sz w:val="24"/>
                <w:szCs w:val="24"/>
              </w:rPr>
              <w:br/>
            </w:r>
            <w:r w:rsidRPr="0086320A">
              <w:rPr>
                <w:rFonts w:eastAsia="Times New Roman" w:cs="Times New Roman"/>
                <w:b/>
                <w:bCs/>
                <w:color w:val="000000"/>
                <w:sz w:val="24"/>
                <w:szCs w:val="24"/>
              </w:rPr>
              <w:br/>
            </w:r>
            <w:r w:rsidRPr="0086320A">
              <w:rPr>
                <w:rFonts w:eastAsia="Times New Roman" w:cs="Times New Roman"/>
                <w:b/>
                <w:bCs/>
                <w:color w:val="000000"/>
                <w:sz w:val="24"/>
                <w:szCs w:val="24"/>
              </w:rPr>
              <w:br/>
            </w:r>
            <w:r w:rsidRPr="0086320A">
              <w:rPr>
                <w:rFonts w:eastAsia="Times New Roman" w:cs="Times New Roman"/>
                <w:b/>
                <w:bCs/>
                <w:color w:val="000000"/>
                <w:sz w:val="24"/>
                <w:szCs w:val="24"/>
              </w:rPr>
              <w:br/>
              <w:t>Đoàn Thái Sơn</w:t>
            </w:r>
          </w:p>
        </w:tc>
      </w:tr>
    </w:tbl>
    <w:p w:rsidR="00C11701" w:rsidRPr="0086320A" w:rsidRDefault="00C11701">
      <w:pPr>
        <w:rPr>
          <w:rFonts w:cs="Times New Roman"/>
          <w:sz w:val="24"/>
          <w:szCs w:val="24"/>
        </w:rPr>
      </w:pPr>
    </w:p>
    <w:sectPr w:rsidR="00C11701" w:rsidRPr="00863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0A"/>
    <w:rsid w:val="0086320A"/>
    <w:rsid w:val="00C11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320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6320A"/>
    <w:rPr>
      <w:color w:val="0000FF"/>
      <w:u w:val="single"/>
    </w:rPr>
  </w:style>
  <w:style w:type="character" w:styleId="FollowedHyperlink">
    <w:name w:val="FollowedHyperlink"/>
    <w:basedOn w:val="DefaultParagraphFont"/>
    <w:uiPriority w:val="99"/>
    <w:semiHidden/>
    <w:unhideWhenUsed/>
    <w:rsid w:val="0086320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320A"/>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6320A"/>
    <w:rPr>
      <w:color w:val="0000FF"/>
      <w:u w:val="single"/>
    </w:rPr>
  </w:style>
  <w:style w:type="character" w:styleId="FollowedHyperlink">
    <w:name w:val="FollowedHyperlink"/>
    <w:basedOn w:val="DefaultParagraphFont"/>
    <w:uiPriority w:val="99"/>
    <w:semiHidden/>
    <w:unhideWhenUsed/>
    <w:rsid w:val="008632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ien-te-ngan-hang/thong-tu-09-2014-tt-nhnn-sua-doi-02-2013-tt-nhnn-phan-loai-tai-san-co-trich-lap-du-phong-rui-ro-223679.aspx" TargetMode="External"/><Relationship Id="rId3" Type="http://schemas.openxmlformats.org/officeDocument/2006/relationships/settings" Target="settings.xml"/><Relationship Id="rId7" Type="http://schemas.openxmlformats.org/officeDocument/2006/relationships/hyperlink" Target="https://thuvienphapluat.vn/van-ban/tien-te-ngan-hang/thong-tu-02-2013-tt-nhnn-phan-loai-tai-san-co-muc-trich-phuong-phap-trich-lap-165814.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ien-te-ngan-hang/nghi-dinh-93-2017-nd-cp-che-do-tai-chinh-to-chuc-tin-dung-danh-gia-hieu-qua-dau-tu-von-nha-nuoc-358448.aspx" TargetMode="External"/><Relationship Id="rId11" Type="http://schemas.openxmlformats.org/officeDocument/2006/relationships/theme" Target="theme/theme1.xml"/><Relationship Id="rId5" Type="http://schemas.openxmlformats.org/officeDocument/2006/relationships/hyperlink" Target="https://thuvienphapluat.vn/van-ban/tien-te-ngan-hang/nghi-dinh-16-2017-nd-cp-chuc-nang-nhiem-vu-quyen-han-co-cau-to-chuc-ngan-hang-nha-nuoc-viet-nam-340119.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tien-te-ngan-hang/thong-tu-02-2013-tt-nhnn-phan-loai-tai-san-co-muc-trich-phuong-phap-trich-lap-16581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10645</Words>
  <Characters>60679</Characters>
  <Application>Microsoft Office Word</Application>
  <DocSecurity>0</DocSecurity>
  <Lines>505</Lines>
  <Paragraphs>142</Paragraphs>
  <ScaleCrop>false</ScaleCrop>
  <Company/>
  <LinksUpToDate>false</LinksUpToDate>
  <CharactersWithSpaces>71182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2021-08-12T01:05:00Z</dcterms:created>
  <dcterms:modified xsi:type="dcterms:W3CDTF">2021-08-12T01:08:00Z</dcterms:modified>
</cp:coreProperties>
</file>