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6" w:type="dxa"/>
        <w:jc w:val="center"/>
        <w:tblCellMar>
          <w:left w:w="0" w:type="dxa"/>
          <w:right w:w="0" w:type="dxa"/>
        </w:tblCellMar>
        <w:tblLook w:val="04A0" w:firstRow="1" w:lastRow="0" w:firstColumn="1" w:lastColumn="0" w:noHBand="0" w:noVBand="1"/>
      </w:tblPr>
      <w:tblGrid>
        <w:gridCol w:w="3823"/>
        <w:gridCol w:w="5853"/>
      </w:tblGrid>
      <w:tr w:rsidR="002E23CE" w:rsidRPr="002E23CE" w:rsidTr="002E23CE">
        <w:trPr>
          <w:trHeight w:val="783"/>
          <w:jc w:val="center"/>
        </w:trPr>
        <w:tc>
          <w:tcPr>
            <w:tcW w:w="3823" w:type="dxa"/>
            <w:shd w:val="clear" w:color="auto" w:fill="auto"/>
            <w:tcMar>
              <w:top w:w="0" w:type="dxa"/>
              <w:left w:w="108" w:type="dxa"/>
              <w:bottom w:w="0" w:type="dxa"/>
              <w:right w:w="108" w:type="dxa"/>
            </w:tcMar>
            <w:hideMark/>
          </w:tcPr>
          <w:p w:rsidR="002E23CE" w:rsidRPr="002E23CE" w:rsidRDefault="002E23CE" w:rsidP="002E23CE">
            <w:pPr>
              <w:spacing w:before="120" w:after="120" w:line="240" w:lineRule="auto"/>
              <w:ind w:left="31" w:hanging="31"/>
              <w:rPr>
                <w:rFonts w:eastAsia="Times New Roman" w:cs="Times New Roman"/>
                <w:sz w:val="24"/>
                <w:szCs w:val="26"/>
              </w:rPr>
            </w:pPr>
            <w:r w:rsidRPr="002E23CE">
              <w:rPr>
                <w:rFonts w:eastAsia="Times New Roman" w:cs="Times New Roman"/>
                <w:b/>
                <w:bCs/>
                <w:sz w:val="24"/>
                <w:szCs w:val="26"/>
              </w:rPr>
              <w:t xml:space="preserve">       CÔNG TY</w:t>
            </w:r>
          </w:p>
          <w:p w:rsidR="002E23CE" w:rsidRPr="002E23CE" w:rsidRDefault="002E23CE" w:rsidP="002E23CE">
            <w:pPr>
              <w:spacing w:before="120" w:after="120" w:line="240" w:lineRule="auto"/>
              <w:rPr>
                <w:rFonts w:eastAsia="Times New Roman" w:cs="Times New Roman"/>
                <w:sz w:val="24"/>
                <w:szCs w:val="26"/>
              </w:rPr>
            </w:pPr>
            <w:bookmarkStart w:id="0" w:name="tencongty_BKL"/>
            <w:r w:rsidRPr="002E23CE">
              <w:rPr>
                <w:rFonts w:eastAsia="Times New Roman" w:cs="Times New Roman"/>
                <w:b/>
                <w:bCs/>
                <w:sz w:val="24"/>
                <w:szCs w:val="26"/>
              </w:rPr>
              <w:t xml:space="preserve">              [...]</w:t>
            </w:r>
            <w:bookmarkEnd w:id="0"/>
          </w:p>
          <w:p w:rsidR="002E23CE" w:rsidRPr="002E23CE" w:rsidRDefault="002E23CE" w:rsidP="002E23CE">
            <w:pPr>
              <w:spacing w:before="120" w:after="120" w:line="240" w:lineRule="auto"/>
              <w:rPr>
                <w:rFonts w:eastAsia="Times New Roman" w:cs="Times New Roman"/>
                <w:sz w:val="24"/>
                <w:szCs w:val="26"/>
              </w:rPr>
            </w:pPr>
            <w:r w:rsidRPr="002E23CE">
              <w:rPr>
                <w:rFonts w:eastAsia="Times New Roman" w:cs="Times New Roman"/>
                <w:b/>
                <w:bCs/>
                <w:sz w:val="24"/>
                <w:szCs w:val="26"/>
              </w:rPr>
              <w:t xml:space="preserve">    ------------------</w:t>
            </w:r>
          </w:p>
        </w:tc>
        <w:tc>
          <w:tcPr>
            <w:tcW w:w="5853" w:type="dxa"/>
            <w:shd w:val="clear" w:color="auto" w:fill="auto"/>
            <w:tcMar>
              <w:top w:w="0" w:type="dxa"/>
              <w:left w:w="108" w:type="dxa"/>
              <w:bottom w:w="0" w:type="dxa"/>
              <w:right w:w="108" w:type="dxa"/>
            </w:tcMar>
            <w:hideMark/>
          </w:tcPr>
          <w:p w:rsidR="002E23CE" w:rsidRPr="002E23CE" w:rsidRDefault="002E23CE" w:rsidP="002E23CE">
            <w:pPr>
              <w:spacing w:before="120" w:after="120" w:line="240" w:lineRule="auto"/>
              <w:ind w:firstLine="604"/>
              <w:jc w:val="center"/>
              <w:rPr>
                <w:rFonts w:eastAsia="Times New Roman" w:cs="Times New Roman"/>
                <w:sz w:val="24"/>
                <w:szCs w:val="26"/>
              </w:rPr>
            </w:pPr>
            <w:r w:rsidRPr="002E23CE">
              <w:rPr>
                <w:rFonts w:eastAsia="Times New Roman" w:cs="Times New Roman"/>
                <w:b/>
                <w:bCs/>
                <w:sz w:val="24"/>
                <w:szCs w:val="26"/>
                <w:lang w:val="nl-NL"/>
              </w:rPr>
              <w:t>CỘNG HOÀ XÃ HỘI CHỦ NGHĨA VIỆT NAM</w:t>
            </w:r>
          </w:p>
          <w:p w:rsidR="002E23CE" w:rsidRPr="002E23CE" w:rsidRDefault="002E23CE" w:rsidP="002E23CE">
            <w:pPr>
              <w:spacing w:before="120" w:after="120" w:line="240" w:lineRule="auto"/>
              <w:ind w:firstLine="604"/>
              <w:jc w:val="center"/>
              <w:rPr>
                <w:rFonts w:eastAsia="Times New Roman" w:cs="Times New Roman"/>
                <w:sz w:val="24"/>
                <w:szCs w:val="26"/>
              </w:rPr>
            </w:pPr>
            <w:r w:rsidRPr="002E23CE">
              <w:rPr>
                <w:rFonts w:eastAsia="Times New Roman" w:cs="Times New Roman"/>
                <w:b/>
                <w:bCs/>
                <w:sz w:val="24"/>
                <w:szCs w:val="26"/>
                <w:lang w:val="nl-NL"/>
              </w:rPr>
              <w:t>Độc lập- Tự do- Hạnh phúc</w:t>
            </w:r>
          </w:p>
          <w:p w:rsidR="002E23CE" w:rsidRPr="002E23CE" w:rsidRDefault="002E23CE" w:rsidP="002E23CE">
            <w:pPr>
              <w:spacing w:before="120" w:after="120" w:line="240" w:lineRule="auto"/>
              <w:jc w:val="center"/>
              <w:rPr>
                <w:rFonts w:eastAsia="Times New Roman" w:cs="Times New Roman"/>
                <w:sz w:val="24"/>
                <w:szCs w:val="26"/>
              </w:rPr>
            </w:pPr>
            <w:r w:rsidRPr="002E23CE">
              <w:rPr>
                <w:rFonts w:eastAsia="Times New Roman" w:cs="Times New Roman"/>
                <w:b/>
                <w:bCs/>
                <w:i/>
                <w:iCs/>
                <w:sz w:val="24"/>
                <w:szCs w:val="26"/>
                <w:lang w:val="nl-NL"/>
              </w:rPr>
              <w:t>----------------------</w:t>
            </w:r>
          </w:p>
        </w:tc>
      </w:tr>
      <w:tr w:rsidR="002E23CE" w:rsidRPr="002E23CE" w:rsidTr="002E23CE">
        <w:trPr>
          <w:trHeight w:val="765"/>
          <w:jc w:val="center"/>
        </w:trPr>
        <w:tc>
          <w:tcPr>
            <w:tcW w:w="3823" w:type="dxa"/>
            <w:shd w:val="clear" w:color="auto" w:fill="auto"/>
            <w:tcMar>
              <w:top w:w="0" w:type="dxa"/>
              <w:left w:w="108" w:type="dxa"/>
              <w:bottom w:w="0" w:type="dxa"/>
              <w:right w:w="108" w:type="dxa"/>
            </w:tcMar>
            <w:hideMark/>
          </w:tcPr>
          <w:p w:rsidR="002E23CE" w:rsidRPr="002E23CE" w:rsidRDefault="002E23CE" w:rsidP="002E23CE">
            <w:pPr>
              <w:spacing w:before="120" w:after="120" w:line="240" w:lineRule="auto"/>
              <w:rPr>
                <w:rFonts w:eastAsia="Times New Roman" w:cs="Times New Roman"/>
                <w:sz w:val="24"/>
                <w:szCs w:val="26"/>
              </w:rPr>
            </w:pPr>
            <w:r w:rsidRPr="002E23CE">
              <w:rPr>
                <w:rFonts w:eastAsia="Times New Roman" w:cs="Times New Roman"/>
                <w:i/>
                <w:iCs/>
                <w:sz w:val="24"/>
                <w:szCs w:val="26"/>
                <w:lang w:val="nl-NL"/>
              </w:rPr>
              <w:t>Số: </w:t>
            </w:r>
            <w:bookmarkStart w:id="1" w:name="so_BKL"/>
            <w:r w:rsidRPr="002E23CE">
              <w:rPr>
                <w:rFonts w:eastAsia="Times New Roman" w:cs="Times New Roman"/>
                <w:i/>
                <w:iCs/>
                <w:sz w:val="24"/>
                <w:szCs w:val="26"/>
              </w:rPr>
              <w:t>[…]</w:t>
            </w:r>
            <w:bookmarkEnd w:id="1"/>
          </w:p>
        </w:tc>
        <w:tc>
          <w:tcPr>
            <w:tcW w:w="5853" w:type="dxa"/>
            <w:shd w:val="clear" w:color="auto" w:fill="auto"/>
            <w:tcMar>
              <w:top w:w="0" w:type="dxa"/>
              <w:left w:w="108" w:type="dxa"/>
              <w:bottom w:w="0" w:type="dxa"/>
              <w:right w:w="108" w:type="dxa"/>
            </w:tcMar>
            <w:hideMark/>
          </w:tcPr>
          <w:p w:rsidR="002E23CE" w:rsidRPr="002E23CE" w:rsidRDefault="002E23CE" w:rsidP="002E23CE">
            <w:pPr>
              <w:spacing w:before="120" w:after="120" w:line="240" w:lineRule="auto"/>
              <w:ind w:left="2164"/>
              <w:jc w:val="center"/>
              <w:rPr>
                <w:rFonts w:eastAsia="Times New Roman" w:cs="Times New Roman"/>
                <w:sz w:val="24"/>
                <w:szCs w:val="26"/>
              </w:rPr>
            </w:pPr>
            <w:bookmarkStart w:id="2" w:name="diachi_BKL"/>
            <w:r w:rsidRPr="002E23CE">
              <w:rPr>
                <w:rFonts w:eastAsia="Times New Roman" w:cs="Times New Roman"/>
                <w:i/>
                <w:iCs/>
                <w:sz w:val="24"/>
                <w:szCs w:val="26"/>
              </w:rPr>
              <w:t>[...]</w:t>
            </w:r>
            <w:bookmarkEnd w:id="2"/>
            <w:r w:rsidRPr="002E23CE">
              <w:rPr>
                <w:rFonts w:eastAsia="Times New Roman" w:cs="Times New Roman"/>
                <w:i/>
                <w:iCs/>
                <w:sz w:val="24"/>
                <w:szCs w:val="26"/>
                <w:lang w:val="nl-NL"/>
              </w:rPr>
              <w:t>, ngày </w:t>
            </w:r>
            <w:bookmarkStart w:id="3" w:name="ngay_BKL"/>
            <w:r w:rsidRPr="002E23CE">
              <w:rPr>
                <w:rFonts w:eastAsia="Times New Roman" w:cs="Times New Roman"/>
                <w:i/>
                <w:iCs/>
                <w:sz w:val="24"/>
                <w:szCs w:val="26"/>
              </w:rPr>
              <w:t>[...]</w:t>
            </w:r>
            <w:bookmarkEnd w:id="3"/>
            <w:r w:rsidRPr="002E23CE">
              <w:rPr>
                <w:rFonts w:eastAsia="Times New Roman" w:cs="Times New Roman"/>
                <w:i/>
                <w:iCs/>
                <w:sz w:val="24"/>
                <w:szCs w:val="26"/>
                <w:lang w:val="nl-NL"/>
              </w:rPr>
              <w:t> tháng</w:t>
            </w:r>
            <w:r w:rsidRPr="002E23CE">
              <w:rPr>
                <w:rFonts w:eastAsia="Times New Roman" w:cs="Times New Roman"/>
                <w:i/>
                <w:iCs/>
                <w:sz w:val="24"/>
                <w:szCs w:val="26"/>
              </w:rPr>
              <w:t> </w:t>
            </w:r>
            <w:bookmarkStart w:id="4" w:name="thang_BKL"/>
            <w:r w:rsidRPr="002E23CE">
              <w:rPr>
                <w:rFonts w:eastAsia="Times New Roman" w:cs="Times New Roman"/>
                <w:i/>
                <w:iCs/>
                <w:sz w:val="24"/>
                <w:szCs w:val="26"/>
              </w:rPr>
              <w:t>[...] </w:t>
            </w:r>
            <w:bookmarkEnd w:id="4"/>
            <w:r w:rsidRPr="002E23CE">
              <w:rPr>
                <w:rFonts w:eastAsia="Times New Roman" w:cs="Times New Roman"/>
                <w:i/>
                <w:iCs/>
                <w:sz w:val="24"/>
                <w:szCs w:val="26"/>
                <w:lang w:val="nl-NL"/>
              </w:rPr>
              <w:t>năm</w:t>
            </w:r>
            <w:r w:rsidRPr="002E23CE">
              <w:rPr>
                <w:rFonts w:eastAsia="Times New Roman" w:cs="Times New Roman"/>
                <w:i/>
                <w:iCs/>
                <w:sz w:val="24"/>
                <w:szCs w:val="26"/>
              </w:rPr>
              <w:t> </w:t>
            </w:r>
            <w:bookmarkStart w:id="5" w:name="nam_BKL"/>
            <w:r w:rsidRPr="002E23CE">
              <w:rPr>
                <w:rFonts w:eastAsia="Times New Roman" w:cs="Times New Roman"/>
                <w:i/>
                <w:iCs/>
                <w:sz w:val="24"/>
                <w:szCs w:val="26"/>
              </w:rPr>
              <w:t>[...]</w:t>
            </w:r>
            <w:bookmarkEnd w:id="5"/>
          </w:p>
        </w:tc>
      </w:tr>
    </w:tbl>
    <w:p w:rsidR="002E23CE" w:rsidRPr="002E23CE" w:rsidRDefault="002E23CE" w:rsidP="002E23CE">
      <w:pPr>
        <w:shd w:val="clear" w:color="auto" w:fill="FFFFFF"/>
        <w:spacing w:before="120" w:after="120" w:line="276" w:lineRule="auto"/>
        <w:ind w:firstLine="426"/>
        <w:jc w:val="center"/>
        <w:textAlignment w:val="baseline"/>
        <w:rPr>
          <w:rFonts w:eastAsia="Times New Roman" w:cs="Times New Roman"/>
          <w:color w:val="000000"/>
          <w:sz w:val="32"/>
          <w:szCs w:val="32"/>
        </w:rPr>
      </w:pPr>
      <w:r w:rsidRPr="002E23CE">
        <w:rPr>
          <w:rFonts w:eastAsia="Times New Roman" w:cs="Times New Roman"/>
          <w:b/>
          <w:bCs/>
          <w:color w:val="000000"/>
          <w:sz w:val="32"/>
          <w:szCs w:val="32"/>
        </w:rPr>
        <w:t>NỘI QUY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i/>
          <w:iCs/>
          <w:color w:val="000000"/>
          <w:sz w:val="26"/>
          <w:szCs w:val="26"/>
        </w:rPr>
        <w:t>- Căn cứ Bộ luật Lao động số 45/2019/QH14 của Quốc hội nước CHXHCN Việt Nam thông qua ngày 20/11/2019;</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i/>
          <w:iCs/>
          <w:color w:val="000000"/>
          <w:sz w:val="26"/>
          <w:szCs w:val="26"/>
        </w:rPr>
        <w:t>- Căn cứ tổ chức sản xuất kinh doanh và tổ chức sản xuất lao động trong doanh nghiệp;</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i/>
          <w:iCs/>
          <w:color w:val="000000"/>
          <w:sz w:val="26"/>
          <w:szCs w:val="26"/>
        </w:rPr>
        <w:t>- Sau khi trao đổi thống nhất với </w:t>
      </w:r>
      <w:bookmarkStart w:id="6" w:name="coquancongty_BKL"/>
      <w:r w:rsidRPr="002E23CE">
        <w:rPr>
          <w:rFonts w:eastAsia="Times New Roman" w:cs="Times New Roman"/>
          <w:i/>
          <w:iCs/>
          <w:color w:val="000000"/>
          <w:sz w:val="26"/>
          <w:szCs w:val="26"/>
        </w:rPr>
        <w:t>[…]</w:t>
      </w:r>
      <w:bookmarkEnd w:id="6"/>
      <w:r w:rsidRPr="002E23CE">
        <w:rPr>
          <w:rFonts w:eastAsia="Times New Roman" w:cs="Times New Roman"/>
          <w:i/>
          <w:iCs/>
          <w:color w:val="000000"/>
          <w:sz w:val="26"/>
          <w:szCs w:val="26"/>
        </w:rPr>
        <w:t>, nay Giám đốc ban hành nội quy lao động trong doanh nghiệp như sau: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i/>
          <w:iCs/>
          <w:color w:val="000000"/>
          <w:sz w:val="26"/>
          <w:szCs w:val="26"/>
        </w:rPr>
        <w:t> </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CHƯƠNG I. NHỮNG QUY ĐỊNH CHUNG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Nội quy lao động là những quy định về kỷ luật lao động mà người lao động phải thực hiện khi làm việc tại doanh nghiệp; quy định việc xử lý đối với người lao động có hành vi vi phạm kỷ luật lao động; quy định trách nhiệm vật chất đối với người lao động vi phạm kỷ luật lao động làm thiệt hại tài sản của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Nội quy lao động áp dụng đối với tất cả mọi người lao động làm việc trong doanh nghiệp theo các hình thức và các loại hợp đồng lao động, kể cả người lao động trong thời gian tập việc, thử việc, học nghề.</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Những nội dung quy định trong bản nội quy lao động này có hiệu lực thi hành kể từ ngày được Sở</w:t>
      </w:r>
      <w:r w:rsidR="00E90C6E">
        <w:rPr>
          <w:rFonts w:eastAsia="Times New Roman" w:cs="Times New Roman"/>
          <w:color w:val="000000"/>
          <w:sz w:val="26"/>
          <w:szCs w:val="26"/>
        </w:rPr>
        <w:t xml:space="preserve"> Lao Động – Thương Binh Xã Hội</w:t>
      </w:r>
      <w:r w:rsidRPr="002E23CE">
        <w:rPr>
          <w:rFonts w:eastAsia="Times New Roman" w:cs="Times New Roman"/>
          <w:color w:val="000000"/>
          <w:sz w:val="26"/>
          <w:szCs w:val="26"/>
        </w:rPr>
        <w:t xml:space="preserve"> xác nhận đăng ký.</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CHƯƠNG II. NỘI DUNG CỦA NỘI QUY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 Biểu thời gian làm việc trong ngày: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Số giờ làm việc trong ngày: 08 giờ/ngày.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Số ngày làm việc trong tuần: 05 ngày.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Thời điểm bắt đầu làm việc trong ngày: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Sáng: Từ 8:00 đến 12:00.</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Chiều: Từ 13:30 đến 17:30.</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Thời gian nghỉ ngơi trong ngày: Từ 12:00 đến 13:30.</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lastRenderedPageBreak/>
        <w:t>Điều 2. Ngày nghỉ hằng tuần: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Thứ Bảy và Chủ nhật.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3. Ngày nghỉ người lao động được hưởng nguyên lương: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3.1. Nghỉ lễ, tết hàng năm: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Tết Dương Lịch: 01 (Một) ngày (ngày 01 tháng 01 dương lịch).</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Tết Âm lịch: 05 (Năm) ngày.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Ngày chiến thắng: 01 (Một) ngày (ngày 30 tháng 4 dương lịch).</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Ngày Quốc tế lao động: 01 (Một) ngày (ngày 01 tháng 5 dương lịch).</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Ngày Quốc khánh: 02 (Hai) ngày (ngày 2 tháng 9 dương lịch và 01 ngày liền kề trước hoặc sau).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shd w:val="clear" w:color="auto" w:fill="FFFFFF"/>
        </w:rPr>
        <w:t>Nếu ngày nghỉ hằng tuần trùng với ngày nghỉ lễ, tết thì người lao động được nghỉ bù ngày nghỉ hằng tuần vào ngày làm việc kế tiếp.</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3.2. Nghỉ hàng năm: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có 12 tháng làm việc tại Công ty thì được nghỉ 12 ngày phép năm hưởng nguyên lương. Mỗi tháng người lao động được nghỉ một ngày phép, nếu không nghỉ thì ngày phép đó sẽ cộng dồn vào những tháng sau.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shd w:val="clear" w:color="auto" w:fill="FFFFFF"/>
        </w:rPr>
        <w:t>Cụ thể như sau: Nếu tháng 1 nhân viên có một ngày nghỉ phép hưởng nguyên lương mà không sử dụng thì có thể cộng dồn vào tháng 2. Đến tháng 2 có nhu cầu sử dụng thì có thể sử dụng cả 2 ngày phép. Nhân viên cũng có thể sử dụng một lần phép năm nếu không ảnh hưởng đến công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Nếu thời gian làm việc dưới 12 tháng thì số ngày phép năm được tính theo tỉ lệ tương ứng với số tháng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sẽ có thêm một ngày phép năm hưởng nguyên lương cho mỗi 5 (năm) năm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Quy định cách giải quyết số ngày phép chưa nghỉ hết trong năm: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Trường hợp ngày nghỉ phép năm vẫn còn (người lao động chưa sử dụng hết) thì những ngày nghỉ này sẽ được chuyển sang cho năm kế tiếp. Tuy nhiên người lao động phải nghỉ hết ngày phép của mình trước Quý II của năm sau, tức là trước ngày 30 tháng 6 năm sau.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Khi thôi việc nếu người lao động chưa nghỉ hết phép năm của mình thì được thanh toán tiền lương của những ngày phép chưa nghỉ bằng 100% tiền lương công việc đang làm.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    Nếu do yêu cầu công việc, người lao động không thể nghỉ phép, Công ty sẽ thanh toán tiền lương những ngày phép đó bằng 300% tiền lương của ngày làm việc bình thường.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4. Nghỉ việc riêng có lương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Người lao động có quyền nghỉ và hưởng đầy đủ lương như những ngày đi làm trong các trường hợp sau: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Bản thân kết hôn: được nghỉ 03 ngày.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Con để, con nuôi kết hôn: được nghỉ 01 ngày.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Cha đẻ, mẹ đẻ, cha nuôi, mẹ nuôi; cha đẻ, mẹ đẻ, cha nuôi, mẹ nuôi của vợ hoặc chồng; vợ hoặc chồng; con đẻ, con nuôi chết: được nghỉ 03 ngày.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Lao động nam có vợ sinh con: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05 ngày làm việc với những trường hợp thông thường;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07 ngày làm việc nếu vợ sinh con phải phẫu thuật, sinh con dưới 32 tuần tuổi;</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10 ngày làm việc nếu vợ sinh đôi; từ sinh 3 trở lên thì cứ thêm mỗi con được nghỉ thêm 03 ngày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14 ngày làm việc nếu vợ sinh đôi trở lên mà phải phẫu thuật.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5. Nghỉ việc riêng không lương: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có thể thỏa thuận với người sử dụng lao động để xin nghỉ không hưởng lương, tuy nhiên chỉ trong trường hợp có lý do thật sự chính đáng.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được nghỉ không hưởng lương 01 ngày và phải thông báo với người sử dụng lao động khi ông nội, bà nội, ông ngoại, bà ngoại, anh, chị, em ruột chết; cha hoặc mẹ kết hôn; anh, chị, em ruột kết hôn.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6. Ngày nghỉ bệnh:</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Nếu người lao động bị bệnh thì người thân của người lao động phải thông báo cho Công ty biết trong thời gian sớm nhất.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Trường hợp nghỉ nhiều ngày liên tiếp thì sau khi nghỉ bệnh người lao động phải nộp đơn xin nghỉ bệnh cùng với giấy xác nhận của Bác sĩ, nếu không sẽ bị khấu trừ vào ngày phép năm.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Trong thời gian nghỉ bệnh theo giấy của Bác sĩ, người lao động được hưởng chế độ theo quy định của Bảo Hiểm Xã Hội.</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Thời gian tối đa người lao động được hưởng trợ cấp ốm đau như sau: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30 ngày trong một năm nếu đã đóng Bảo hiểm Xã hội dưới 15 năm.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    40 ngày trong một năm nếu đã đóng Bảo hiểm Xã hội từ 15 năm đến dưới 30 năm.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50 ngày trong một năm nếu đã đóng Bảo hiểm Xã hội từ 30 năm trở lên.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7. Thủ tục xin nghỉ và thẩm quyền cho phép người lao động nghỉ trong các trường hợp trên: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nào muốn nghỉ phép năm thì phải làm đơn và được sự chấp thuận của cấp trên. Trong các trường hợp nghỉ từ 5 (năm) ngày trở lên thì phải làm đơn xin phép trước 2 tuần lễ.</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Trường hợp khẩn cấp, xin nghỉ trong ngày, người lao động có thề thông báo bằng điện thoại cho cấp trên của mình trước 8:00 giờ sáng hôm đó.</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8. Những quy định đối với lao động nữ:</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nữ được nghỉ trước và sau khi sinh con là 06 tháng, thời gian nghỉ trước khi sinh không quá 02 tháng. Nếu sinh đôi trở lên thì tính từ con thứ 2 trở đi, cứ mỗi con người mẹ sẽ được nghỉ thêm 01 tháng. Quyền lợi của người lao động nữ trong thời gian nghỉ thai sản được quy định theo điều 139, điều 140, điều 141 của Bộ luật Lao động 2019.</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Khi nộp đơn xin nghỉ thai sản, người lao động phải đính kèm các giấy xác nhận của Bác sĩ. Hết thời gian nghỉ thai sản quy định trên, nếu có nhu cầu, người lao động nữ có thể nghỉ thêm một thời gian không hưởng lương theo thỏa thuận với người sử dụng lao động. Người lao động nữ có thể đi làm việc trước khi hết thời gian thai sản, nếu đã nghỉ ít nhất được 04 tháng sau khi sinh và có giấy của cơ sở khám, chữa bệnh có thẩm quyền chứng nhận việc trở lại làm sớm không có hại cho sức khỏe và phải báo cho người quản lý trực tiếp người lao động biết trước ít nhất 07 ngày. Trong trường hợp này, người lao động nữ vẫn có thể tiếp tục được hưởng trợ cấp thai sản ngòai tiền lương của những ngày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sử dụng lao động không được sử dụng người lao động nữ khi có thai từ tháng thứ 7 hoặc đang nuôi con dưới 12 tháng tuổi để làm việc thêm giờ hoặc làm việc ban đêm và đi công tác xa.</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nữ trong thời gian nuôi con nhỏ dưới 12 tháng tuổi được nghỉ mỗi ngày 60 phút trong thời gian làm việc mà vẫn hưởng đủ lương.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nữ trong thời gian hành kinh được nghỉ mỗi ngày 30 phút trong thời gian làm việc mà vẫn hưởng đủ lương.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sử dụng lao động bảo đảm chỗ làm việc cho người lao động nữ sau khi kết thúc thời gian nghỉ sanh nếu trước đó vẫn giữ đúng các điều khỏan trong HĐLĐ và tuân thủ đúng nội quy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9. Thủ tục vào ra Công ty trong và ngoài giờ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     Không gây ồn ào trong giờ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được ra vào Công ty ngoài giờ làm việc và các ngày nghỉ nếu không có sự chấp thuận của người sử dụng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Trong giờ làm việc, người lao động không được làm bất cứ việc riêng nào ngoài công việc được giao.</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được vắng mặt tại Công ty nếu không có lý do chính đáng và phải thông báo cho người quản lý trực tiếp khi ra ngoài công tác.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10. Quy định về tác phong, trang phục, thái độ làm việc nơi công sở:</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Trang phục: phù hợp với môi trường văn phòng.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Thái độ: hoà đồng đối với đồng nghiệp, có tinh thần trách nhiệm trong công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11. Những quy định khác về trật tự doanh nghiệp:</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Thực hiện công việc được giao: hoàn thành đúng kỳ hạn và không có sai sót.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Rượu, bia và chất kích thích: Công ty cấm hoàn toàn việc sản xuất, phân phối, tàng trữ và sử dụng rượu, bia và chất kích thích trong giờ làm việc. Nếu người lao động có biểu hiện bị tác động bởi rượu, bia và chất kích thích sẽ không được phép làm việc và bị xử kỷ luật theo quy định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Đánh bạc: Công ty tuyệt đối nghiêm cấm người lao động tổ chức, tham gia đánh bạc dưới bất kỳ hình thức nào trong giờ làm việc và/hoặc trong phạm vi Công ty. Nếu phát hiện người lao động phải chịu hình thức kỷ luật theo nội quy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Thông tin cá nhân: Các thông tin cá nhân sẽ được giữ kín hoàn toàn; trừ trường hợp người sử dụng lao động có thẩm quyền với lý do liên quan đến công việc của Công ty và công việc đó thuộc thẩm quyền xử lý của người truy xuất thông tin đó.</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bookmarkStart w:id="7" w:name="dieukhac_11_BKL"/>
      <w:r w:rsidRPr="002E23CE">
        <w:rPr>
          <w:rFonts w:eastAsia="Times New Roman" w:cs="Times New Roman"/>
          <w:color w:val="000000"/>
          <w:sz w:val="26"/>
          <w:szCs w:val="26"/>
        </w:rPr>
        <w:t>-     […].</w:t>
      </w:r>
      <w:bookmarkEnd w:id="7"/>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12. Phòng, chống quấy rối tình dục tại nơi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12.1. Định nghĩa: “Quấy rối tình dục” là hành vi có tính chất tình dục gây ảnh hưởng tới nhân phẩm của nữ giới và nam giới, đây là hành vi không được chấp nhận, không mong muốn và không hợp lý làm xúc phạm đối với người nhận, và tạo ra môi trường làm việc bất ổn, đáng sợ, thù địch và khó chịu.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12.2. Biện pháp phòng, chống:                                                                      </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a.   Tuyên truyền, kêu gọi phòng, chống quấy rối tình dục bằng các hình thức: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Tổ chức các buổi phổ cập quy định pháp luật và nội quy công ty về phòng chống quấy rối tình dục.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     Phát động cuộc thi liên quan đến quy định về phòng chông quấy rối tình dục.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bookmarkStart w:id="8" w:name="dieu_12_b_BKL"/>
      <w:r w:rsidRPr="002E23CE">
        <w:rPr>
          <w:rFonts w:eastAsia="Times New Roman" w:cs="Times New Roman"/>
          <w:color w:val="000000"/>
          <w:sz w:val="26"/>
          <w:szCs w:val="26"/>
        </w:rPr>
        <w:t>b.   […].</w:t>
      </w:r>
      <w:bookmarkEnd w:id="8"/>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13. Trình tự xử lý quấy rối tình dục tại nơi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Theo quy định về trình tự xử lý kỷ luật trong nội quy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14. Trường hợp được tạm thời chuyển người lao động làm việc khác so với hợp đồng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Khi gặp khó khăn đột xuất do thiên tai, hỏa hoạn, dịch bệnh nguy hiểm, áp dụng biện pháp ngăn ngừa, khắc phục tai nạn lao động, bệnh nghề nghiệp, sự cố điện, nước hoặc do nhu cầu sản xuất, kinh doanh thì người sử dụng lao động được quyền tạm thời chuyển người lao động làm công việc khác so với hợp đồng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Những trường hợp do nhu cầu sản xuất, kinh doanh mà người sử dụng lao động được tạm thời chuyển người lao động làm công việc khác so với hợp đồng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đủ nhân lực một khâu sản xuất trong thời gian cao điểm;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Dự án cần hoàn thành sớm;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sử dụng lao động báo cho người lao động biết trước ít nhất 03 ngày làm việc, thông báo rõ thời hạn làm tạm thời và bố trí công việc phù hợp với sức khỏe, giới tính của người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Thời gian chuyển không quá 60 ngày làm việc cộng dồn trong 01 năm. Nếu hơn 60 ngày trong 01 năm thì sẽ có văn bản lấy ý kiến của người lao động và được thực hiện khi người lao động đã đồng ý bằng văn bản.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chuyển sang làm công việc khác so với hợp đồng lao động được trả lương theo công việc mới. Nếu tiền lương của công việc mới thấp hơn tiền lương của công việc cũ thì được giữ nguyên tiền lương của công việc cũ trong thời hạn 30 ngày làm việc. Tiền lương theo công việc mới ít nhất phải bằng 85% tiền lương của công việc cũ nhưng không thấp hơn mức lương tối thiểu.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15. Trách nhiệm của người sử dụng lao động trong an toàn lao động và vệ sinh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Công ty bảo đảm vệ sinh trong môi trường làm việc và an toàn cho người lao động, bảo đảm sức khỏe cho người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Công ty tổ chức khám sức khỏe định kỳ hàng năm cho người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16. An toàn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     Tất cả mọi người phải nghiêm túc tuân thủ các quy định, tiêu chuần về an toàn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có quyền từ chối hoặc rời bỏ nơi làm việc khi thấy rõ có nguy cơ xảy ra tai nạn lao động, đe dọa tính mạng hoặc sức khỏe của bản thân hoặc cho những người khác cho đến khi sự cố được khắc phục.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có bệnh được phép đề nghị xin nghỉ để bảo đảm an toàn cho người lao động đó cũng như những người khác.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Lãnh đạo có trách nhiệm bảo đảm thực hiện trang bị bảo hiểm lao động theo quy định của pháp luật về an toàn và vệ sinh lao động, bảo vệ môi trường.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17. Vệ sinh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Trước khi rời khỏi chỗ làm, người lao động phải vệ sinh nơi làm việc, kiểm tra thiết bị điện, nước tại chỗ. Bảo đảm các thiết bị đã được tắt, khóa cẩn thận.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phải chịu trách nhiệm bảo dưỡng, vệ sinh các thiết bị điện tại chỗ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phải chịu trách nhiệm giữ các thiết bị điện tại chỗ làm việc sạch sẽ.</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Phòng cháy chữa cháy: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phải triệt để chấp hành các quy định, quy chế về phòng cháy chữa cháy.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được mang vật dễ cháy nỗ vào Công ty và đặc biệt nghiêm cấm hút thuốc lá trong phòng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18. Bảo vệ tài sản: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không được phép mang bất kỳ dụng cụ, máy móc, văn bản hoặc bất kỳ tài sản nào của Công ty ra khỏi Công ty nếu không có sự đồng ý của người sử dụng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có trách nhiệm bảo vệ tài sản của Công ty; nếu thất thoát, hư hỏng thì phải bồi thường theo quy định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19. Giữ bí mật công nghệ, kinh doanh:</w:t>
      </w:r>
    </w:p>
    <w:p w:rsidR="00136EF8" w:rsidRPr="002E23CE" w:rsidRDefault="002E23CE" w:rsidP="00136EF8">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w:t>
      </w:r>
      <w:r w:rsidR="00136EF8" w:rsidRPr="002E23CE">
        <w:rPr>
          <w:rFonts w:eastAsia="Times New Roman" w:cs="Times New Roman"/>
          <w:color w:val="000000"/>
          <w:sz w:val="26"/>
          <w:szCs w:val="26"/>
        </w:rPr>
        <w:t>Trong khi làm việc, người lao động không được tiết lộ các thông tin liên quan đến bí mật công nghệ, kinh doanh thuộc quyền sở hữu của Công ty cho bất kỳ ai ngoại trừ người liên quan trực tiếp cùng thực hiện công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20. Các hành vi vi phạm kỷ luật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w:t>
      </w:r>
      <w:bookmarkStart w:id="9" w:name="_GoBack"/>
      <w:r w:rsidRPr="002E23CE">
        <w:rPr>
          <w:rFonts w:eastAsia="Times New Roman" w:cs="Times New Roman"/>
          <w:color w:val="000000"/>
          <w:sz w:val="26"/>
          <w:szCs w:val="26"/>
        </w:rPr>
        <w:t>Hành vi trộm, cắp, tham ô và phá hoại tài sản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     Vi phạm nội quy về thời gian làm việc, thời gian nghỉ ngơi, tác phong, trang phục của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Hành vi quấy rối tình dục tại nơi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Vi phạm quy định về bảo vệ bí mật công nghệ, kinh doanh của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Vi phạm quy định về vệ sinh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Trong giờ làm việc, sử dụng, tàng trữ, phân phối rượu, bia và các chất kích thích; tổ chức, tham gia đánh bạc.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chấp hành sự phân công công việc, nếu sự phân công này đúng và không ảnh hưởng cho doanh nghiệp hay bất kỳ cá nhân nào về tài sản, tính mạng.</w:t>
      </w:r>
    </w:p>
    <w:bookmarkEnd w:id="9"/>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21. Hình thức xử lý hành vi vi phạm kỷ luật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21.1. Hình thức khiển trách bằng miệng: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Đối với những vi phạm kỷ luật lần đầu, không gây ra hậu quả nghiêm trọng ảnh hưởng đến hoạt động sản xuất kinh doanh của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Vi phạm nội quy về thời gian làm việc, thời gian nghỉ ngơi, tác phong, trang phục của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chấp hành sự phân công công việc, nếu sự phân công này đúng và không ảnh hưởng cho doanh nghiệp hay bất kỳ cá nhân nào về tài sản, tính mạng.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Vi phạm quy định về vệ sinh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21.2. Hình thức khiển trách bằng văn bản: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Các hình thức sau nếu vi phạm đến lần thứ hai trong vòng 01 tháng: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Vi phạm nội quy về thời gian làm việc, thời gian nghỉ ngơi, tác phong, trang phục của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chấp hành sự phân công công việc, nếu sự phân công này đúng và không ảnh hưởng cho doanh nghiệp hay bất kỳ cá nhân nào về tài sản, tính mạng.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Các hình thức sau, nếu vi phạm lần đầu: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hoàn thành công việc được giao không có lý do chính đáng.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Gây gổ, đánh nhau với người khác trong giờ làm việc hoặc tại nơi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Hành vi quấy rối tình dục tại nơi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Giả mạo chứng nhận của Bác sĩ.</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Nghỉ việc không lý do cộng dồn 02 ngày trong một tháng.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21.3. Hình thức kéo dài thời hạn nâng lương không quá 6 tháng hoặc chuyển làm công tác khác có mức lương thấp hơn, trong thời hạn tối đa là 6 tháng hoặc cách chức: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Các hình thức bị khiển trách bằng văn bản mà vẫn tái phạm trong thời gian 2 tháng từ ngày bị khiển trách trừ hành vi quấy rối tình dục nếu tái phạm trong vòng 1 tháng.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Trong giờ làm việc, sử dụng, tàng trữ, phân phối rượu, bia và các chất kích thích; tổ chức, tham gia đánh bạc.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21.4. Hình thức sa thải:</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Có hành vi trộm cắp, tham ô, đánh bạc, cố ý gây thương tích, sử dụng ma túy tại nơi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Có hành vi tiết lộ bí mật kinh doanh, bí mật công nghệ, xâm phạm quyền sở hữu trí tuệ của người sử dụng lao động, có hành vi gây thiệt hại nghiêm trọng hoặc đe dọa gây thiệt hại đặc biệt nghiêm trọng về tài sản, lợi ích của người sử dụng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bị xử lý kỷ luật kéo dài thời hạn nâng lương, chuyển làm công việc khác mà tái phạm trong thời gian chưa xóa kỷ luật hoặc bị xử lỷ luật cách chức mà tái phạm.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tự ý bỏ việc 5 ngày cộng dồn trong thời hạn 30 ngày và 20 ngày cộng dồn trong một năm mà không được sự đồng ý của người sử dụng lao động hoặc không có lý do chính đáng.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Hành vi quấy rối tình dục tại nơi làm việc gây ảnh hưởng trực tiếp đến Công ty, ảnh hưởng nghiêm trọng hoặc đe doạ nghiêm trọng đến người bị quấy rối về danh dự, nhân phẩm, sức khoẻ, tính mạng.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22. Trình tự xử lý kỷ luật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22.1. Nguyên tắc: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Mỗi hành vi vi phạm nội quy lao động chỉ bị xử lý một hình thức kỷ luật tương ứng. Khi người lao động có nhiều hành vi vi phạm kỷ luật lao động đồng thời chỉ áp dụng hình thức kỷ luật cao nhất tương ứng với hành vi vi phạm nặng nhất.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xử lý kỷ luật lao động đối với người lao động vi phạm nội quy lao động trong khi mắc bệnh tâm thần hoặc một bệnh khác mà mất khả năng nhận thức hay khả năng điều khiển hành vi của mình.</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Cấm mọi hành vi xúc phạm thân thể, nhân phẩm của người lao động khi xử lý kỷ luật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Cấm dùng hình thức phạt tiền thay việc xử lý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Cấm xử lý kỷ luật vì lý do tham gia đình công.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22.2. Trình tự xử lý vi phạm kỷ luật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Trước khi người sử dụng lao động ra quyết định kỷ luật lao động bằng miệng hoặc bằng văn bản đối với người vi phạm phải tuân theo các quy định sau: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sử dụng lao động phải chứng minh được lỗi của người lao động bằng các chứng cứ hoặc người làm chứng.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Đương sự phải có mặt và có quyền tự bào chữa hoặc nhờ luật sư, bào chữa viên nhân dân hoặc người khác bào chữa. Nếu đương sự vẫn vắng mặt sau 03 lần thông báo bằng văn bản (mỗi lần cách nhau 10 ngày), thì người sử dụng lao động có quyền xử lý kỷ luật và thông báo quyết định lỷ luật cho đương sự biết.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Phải có sự tham gia của đại diện Ban chấp hành Công đoàn cơ sở, trừ trường hợp xử lý vi phạm kỷ luật lao động theo hình thức khiển trách bằng miệng.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Trong khi xử lý lỷ luật phải lập thành biên bản, bao gồm các nội dung chủ yếu sau: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Ngày, tháng, năm, địa điểm xử lý vi phạm kỷ luật.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Họ tên, chức vụ của những người có mặt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Hành vi vi phạm kỷ luật lao động, mức độ vi phạm, mức độ thiệt hại gây ra cho công ty (nếu có).</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23. Thẩm quyền xử lý kỷ luật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trực tiếp quản lý người lao động có thẩm quyền xử lý đối với hình thức khiển trách bằng miệng và bằng văn bản.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Ban Giám đốc có thẩm quyền xử lý đối với hình thức kéo dài thời hạn nâng lương không quá 6 tháng hoặc chuyển làm công tác khác có mức lương thấp hơn, trong thời hạn tối đa là 6 tháng hoặc cách chức và hình thức sa thải.</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24. Xoá kỷ luật, giảm thời hạn chấp hành kỷ luật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bị khiển trách sau 03 tháng hoặc kéo dài thời hạn nâng lương sau 06 tháng hoặc chuyển làm công tác khác có mức lương thấp hơn, trong sau 06 tháng hoặc bị cách chức sau 03 năm kể từ ngày bị xử lý, nếu không tiếp tục vi phạm kỷ luật lao động thì đương nhiên được xoá kỷ luật.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bị xử lý kỷ luật kéo dài thời hạn nâng lương sau khi chấp hành được một nửa thời hạn nếu sửa chữa tiến bộ thì có thể được người sử dụng lao động xét giảm thời hạn.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25. Trách nhiệm vật chất: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Đối với trường hợp bất khả kháng thì không phải bồi thường.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     Đối với những trường hợp vi phạm nội quy lao động lần đầu tiên gây ra hậu quả không đáng kể (dưới 2 triệu đồng), thì tùy theo nguyên nhân dẫn đến sai phạm mà công ty có mức phạt cụ thể, nhưng không vượt quá giá trị phần tài sản bị thiệt hại.</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Đối với những trường hợp người lao động vi phạm nội quy lao động, gây ra thiệt hại về tài sản của công ty có giá trị tương đối lớn (hơn 2 triệu đồng), ảnh hưởng đến hoạt động sản xuất kinh doanh của công ty, công ty sẽ lập biên bản; căn cứ vào mức độ, giá trị bị thiệt hại, người gây thiệt hại sẽ phải bồi thường cho công ty một cách thỏa đáng.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Phương thức bồi thừơng thiệt hại: trừ dần vào lương hàng tháng của người lao động, mỗi lần trừ không vượt quá 20% lương tháng đó.</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Đối với trường hợp vi phạm nội quy lao động gây ra hậu quả nghiêm trọng, vượt quá khung quy định nêu trên, thì ngoài việc người lao động phải bồi thường ngay cho Công ty, mà còn có thể bị truy tố về trách nhiệm hình sự.</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26. Điều khoản thi hành:</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Nội quy lao động làm cơ sở để Công ty quản lý nhân viên, điều hành sản xuất kinh doanh và xử lý các trường hợp vi phạm về kỷ luật lao động của doanh nghiệp.</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Các đơn vị thành phần, tùy thuộc vào đặc điểm sản xuất – kinh doanh của đơn vị, cụ thể hóa nội quy lao động cho phù hợp với thực tế, nhưng không được trái với Nội quy lao động của doanh nghiệp và pháp luật lao động cũng như pháp luật khác có liên quan của nhà nước CHXH Việt Nam.</w:t>
      </w:r>
    </w:p>
    <w:p w:rsid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Nội quy được phổ biến đến từng người lao động, mọi nhân viên có trách nhiệm thi hành nghiêm chỉnh nội quy này. Đấu tranh ngăn chặn mọi hành vi gây thiệt hại đến sản xuất kinh doanh, an ninh trật tự của doanh nghiệp./.</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Pr>
          <w:rFonts w:eastAsia="Times New Roman" w:cs="Times New Roman"/>
          <w:color w:val="000000"/>
          <w:sz w:val="26"/>
          <w:szCs w:val="26"/>
        </w:rPr>
        <w:br/>
      </w:r>
    </w:p>
    <w:tbl>
      <w:tblPr>
        <w:tblW w:w="0" w:type="auto"/>
        <w:jc w:val="center"/>
        <w:tblCellMar>
          <w:left w:w="0" w:type="dxa"/>
          <w:right w:w="0" w:type="dxa"/>
        </w:tblCellMar>
        <w:tblLook w:val="04A0" w:firstRow="1" w:lastRow="0" w:firstColumn="1" w:lastColumn="0" w:noHBand="0" w:noVBand="1"/>
      </w:tblPr>
      <w:tblGrid>
        <w:gridCol w:w="3618"/>
        <w:gridCol w:w="4590"/>
      </w:tblGrid>
      <w:tr w:rsidR="002E23CE" w:rsidRPr="002E23CE" w:rsidTr="002E23CE">
        <w:trPr>
          <w:jc w:val="center"/>
        </w:trPr>
        <w:tc>
          <w:tcPr>
            <w:tcW w:w="3618" w:type="dxa"/>
            <w:shd w:val="clear" w:color="auto" w:fill="auto"/>
            <w:tcMar>
              <w:top w:w="0" w:type="dxa"/>
              <w:left w:w="108" w:type="dxa"/>
              <w:bottom w:w="0" w:type="dxa"/>
              <w:right w:w="108" w:type="dxa"/>
            </w:tcMar>
            <w:hideMark/>
          </w:tcPr>
          <w:p w:rsidR="002E23CE" w:rsidRPr="002E23CE" w:rsidRDefault="002E23CE" w:rsidP="002E23CE">
            <w:pPr>
              <w:spacing w:before="120" w:after="120" w:line="276" w:lineRule="auto"/>
              <w:jc w:val="center"/>
              <w:textAlignment w:val="baseline"/>
              <w:rPr>
                <w:rFonts w:eastAsia="Times New Roman" w:cs="Times New Roman"/>
                <w:sz w:val="26"/>
                <w:szCs w:val="26"/>
              </w:rPr>
            </w:pPr>
            <w:r w:rsidRPr="002E23CE">
              <w:rPr>
                <w:rFonts w:eastAsia="Times New Roman" w:cs="Times New Roman"/>
                <w:color w:val="000000"/>
                <w:sz w:val="26"/>
                <w:szCs w:val="26"/>
              </w:rPr>
              <w:t> </w:t>
            </w:r>
          </w:p>
        </w:tc>
        <w:tc>
          <w:tcPr>
            <w:tcW w:w="4590" w:type="dxa"/>
            <w:shd w:val="clear" w:color="auto" w:fill="auto"/>
            <w:tcMar>
              <w:top w:w="0" w:type="dxa"/>
              <w:left w:w="108" w:type="dxa"/>
              <w:bottom w:w="0" w:type="dxa"/>
              <w:right w:w="108" w:type="dxa"/>
            </w:tcMar>
            <w:hideMark/>
          </w:tcPr>
          <w:p w:rsidR="002E23CE" w:rsidRPr="002E23CE" w:rsidRDefault="002E23CE" w:rsidP="002E23CE">
            <w:pPr>
              <w:spacing w:before="120" w:after="120" w:line="276" w:lineRule="auto"/>
              <w:jc w:val="center"/>
              <w:textAlignment w:val="baseline"/>
              <w:rPr>
                <w:rFonts w:eastAsia="Times New Roman" w:cs="Times New Roman"/>
                <w:sz w:val="26"/>
                <w:szCs w:val="26"/>
              </w:rPr>
            </w:pPr>
            <w:bookmarkStart w:id="10" w:name="diachi1_BKL"/>
            <w:r w:rsidRPr="002E23CE">
              <w:rPr>
                <w:rFonts w:eastAsia="Times New Roman" w:cs="Times New Roman"/>
                <w:i/>
                <w:iCs/>
                <w:color w:val="000000"/>
                <w:sz w:val="26"/>
                <w:szCs w:val="26"/>
              </w:rPr>
              <w:t>............,</w:t>
            </w:r>
            <w:bookmarkEnd w:id="10"/>
            <w:r w:rsidRPr="002E23CE">
              <w:rPr>
                <w:rFonts w:eastAsia="Times New Roman" w:cs="Times New Roman"/>
                <w:i/>
                <w:iCs/>
                <w:color w:val="000000"/>
                <w:sz w:val="26"/>
                <w:szCs w:val="26"/>
              </w:rPr>
              <w:t> ngày </w:t>
            </w:r>
            <w:bookmarkStart w:id="11" w:name="ngay1_BKL"/>
            <w:r w:rsidRPr="002E23CE">
              <w:rPr>
                <w:rFonts w:eastAsia="Times New Roman" w:cs="Times New Roman"/>
                <w:i/>
                <w:iCs/>
                <w:color w:val="000000"/>
                <w:sz w:val="26"/>
                <w:szCs w:val="26"/>
              </w:rPr>
              <w:t>…… </w:t>
            </w:r>
            <w:bookmarkEnd w:id="11"/>
            <w:r w:rsidRPr="002E23CE">
              <w:rPr>
                <w:rFonts w:eastAsia="Times New Roman" w:cs="Times New Roman"/>
                <w:i/>
                <w:iCs/>
                <w:color w:val="000000"/>
                <w:sz w:val="26"/>
                <w:szCs w:val="26"/>
              </w:rPr>
              <w:t>tháng </w:t>
            </w:r>
            <w:bookmarkStart w:id="12" w:name="thang1_BKL"/>
            <w:r w:rsidRPr="002E23CE">
              <w:rPr>
                <w:rFonts w:eastAsia="Times New Roman" w:cs="Times New Roman"/>
                <w:i/>
                <w:iCs/>
                <w:color w:val="000000"/>
                <w:sz w:val="26"/>
                <w:szCs w:val="26"/>
              </w:rPr>
              <w:t>….</w:t>
            </w:r>
            <w:bookmarkEnd w:id="12"/>
            <w:r w:rsidRPr="002E23CE">
              <w:rPr>
                <w:rFonts w:eastAsia="Times New Roman" w:cs="Times New Roman"/>
                <w:i/>
                <w:iCs/>
                <w:color w:val="000000"/>
                <w:sz w:val="26"/>
                <w:szCs w:val="26"/>
              </w:rPr>
              <w:t> năm </w:t>
            </w:r>
            <w:bookmarkStart w:id="13" w:name="nam1_BKL"/>
            <w:r w:rsidRPr="002E23CE">
              <w:rPr>
                <w:rFonts w:eastAsia="Times New Roman" w:cs="Times New Roman"/>
                <w:i/>
                <w:iCs/>
                <w:color w:val="000000"/>
                <w:sz w:val="26"/>
                <w:szCs w:val="26"/>
              </w:rPr>
              <w:t>……</w:t>
            </w:r>
            <w:bookmarkEnd w:id="13"/>
          </w:p>
        </w:tc>
      </w:tr>
      <w:tr w:rsidR="002E23CE" w:rsidRPr="002E23CE" w:rsidTr="002E23CE">
        <w:trPr>
          <w:jc w:val="center"/>
        </w:trPr>
        <w:tc>
          <w:tcPr>
            <w:tcW w:w="3618" w:type="dxa"/>
            <w:shd w:val="clear" w:color="auto" w:fill="auto"/>
            <w:tcMar>
              <w:top w:w="0" w:type="dxa"/>
              <w:left w:w="108" w:type="dxa"/>
              <w:bottom w:w="0" w:type="dxa"/>
              <w:right w:w="108" w:type="dxa"/>
            </w:tcMar>
            <w:hideMark/>
          </w:tcPr>
          <w:p w:rsidR="002E23CE" w:rsidRPr="002E23CE" w:rsidRDefault="002E23CE" w:rsidP="002E23CE">
            <w:pPr>
              <w:spacing w:before="120" w:after="120" w:line="276" w:lineRule="auto"/>
              <w:jc w:val="center"/>
              <w:textAlignment w:val="baseline"/>
              <w:rPr>
                <w:rFonts w:eastAsia="Times New Roman" w:cs="Times New Roman"/>
                <w:sz w:val="26"/>
                <w:szCs w:val="26"/>
              </w:rPr>
            </w:pPr>
            <w:r w:rsidRPr="002E23CE">
              <w:rPr>
                <w:rFonts w:eastAsia="Times New Roman" w:cs="Times New Roman"/>
                <w:color w:val="000000"/>
                <w:sz w:val="26"/>
                <w:szCs w:val="26"/>
              </w:rPr>
              <w:t> </w:t>
            </w:r>
          </w:p>
        </w:tc>
        <w:tc>
          <w:tcPr>
            <w:tcW w:w="4590" w:type="dxa"/>
            <w:shd w:val="clear" w:color="auto" w:fill="auto"/>
            <w:tcMar>
              <w:top w:w="0" w:type="dxa"/>
              <w:left w:w="108" w:type="dxa"/>
              <w:bottom w:w="0" w:type="dxa"/>
              <w:right w:w="108" w:type="dxa"/>
            </w:tcMar>
            <w:hideMark/>
          </w:tcPr>
          <w:p w:rsidR="002E23CE" w:rsidRPr="002E23CE" w:rsidRDefault="002E23CE" w:rsidP="00B10435">
            <w:pPr>
              <w:spacing w:before="120" w:after="120" w:line="276" w:lineRule="auto"/>
              <w:ind w:left="-320"/>
              <w:jc w:val="center"/>
              <w:textAlignment w:val="baseline"/>
              <w:rPr>
                <w:rFonts w:eastAsia="Times New Roman" w:cs="Times New Roman"/>
                <w:sz w:val="26"/>
                <w:szCs w:val="26"/>
              </w:rPr>
            </w:pPr>
            <w:r w:rsidRPr="002E23CE">
              <w:rPr>
                <w:rFonts w:eastAsia="Times New Roman" w:cs="Times New Roman"/>
                <w:b/>
                <w:bCs/>
                <w:color w:val="000000"/>
                <w:sz w:val="26"/>
                <w:szCs w:val="26"/>
              </w:rPr>
              <w:t>NGƯỜI ĐẠI DIỆN THEO PHÁP LUẬT</w:t>
            </w:r>
          </w:p>
          <w:p w:rsidR="002E23CE" w:rsidRPr="002E23CE" w:rsidRDefault="002E23CE" w:rsidP="002E23CE">
            <w:pPr>
              <w:spacing w:before="120" w:after="120" w:line="276" w:lineRule="auto"/>
              <w:jc w:val="center"/>
              <w:textAlignment w:val="baseline"/>
              <w:rPr>
                <w:rFonts w:eastAsia="Times New Roman" w:cs="Times New Roman"/>
                <w:sz w:val="26"/>
                <w:szCs w:val="26"/>
              </w:rPr>
            </w:pPr>
            <w:r w:rsidRPr="002E23CE">
              <w:rPr>
                <w:rFonts w:eastAsia="Times New Roman" w:cs="Times New Roman"/>
                <w:i/>
                <w:iCs/>
                <w:color w:val="000000"/>
                <w:sz w:val="26"/>
                <w:szCs w:val="26"/>
              </w:rPr>
              <w:t>(Ký, ghi rõ họ tên và đóng dấu)</w:t>
            </w:r>
          </w:p>
        </w:tc>
      </w:tr>
    </w:tbl>
    <w:p w:rsidR="003C5FAE" w:rsidRPr="002E23CE" w:rsidRDefault="00485198" w:rsidP="002E23CE">
      <w:pPr>
        <w:spacing w:line="276" w:lineRule="auto"/>
        <w:rPr>
          <w:rFonts w:cs="Times New Roman"/>
          <w:sz w:val="26"/>
          <w:szCs w:val="26"/>
        </w:rPr>
      </w:pPr>
    </w:p>
    <w:sectPr w:rsidR="003C5FAE" w:rsidRPr="002E23CE" w:rsidSect="00A27788">
      <w:pgSz w:w="12240" w:h="15840"/>
      <w:pgMar w:top="1418" w:right="1134"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CE"/>
    <w:rsid w:val="001266D6"/>
    <w:rsid w:val="00136EF8"/>
    <w:rsid w:val="00181614"/>
    <w:rsid w:val="002E23CE"/>
    <w:rsid w:val="00485198"/>
    <w:rsid w:val="00772C9F"/>
    <w:rsid w:val="00884D4B"/>
    <w:rsid w:val="00A27788"/>
    <w:rsid w:val="00AF0674"/>
    <w:rsid w:val="00B10435"/>
    <w:rsid w:val="00B47124"/>
    <w:rsid w:val="00C7527F"/>
    <w:rsid w:val="00DD327E"/>
    <w:rsid w:val="00E90C6E"/>
    <w:rsid w:val="00FB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FC2F"/>
  <w15:chartTrackingRefBased/>
  <w15:docId w15:val="{AF1B0E34-E42C-4DDD-8941-355A2873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3217</Words>
  <Characters>18338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2021-08-11T07:34:00Z</dcterms:created>
  <dcterms:modified xsi:type="dcterms:W3CDTF">2021-08-11T09:28:00Z</dcterms:modified>
</cp:coreProperties>
</file>