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331BA406"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03EA7BE" w14:textId="77777777" w:rsidR="00000000" w:rsidRDefault="00C55B91">
            <w:pPr>
              <w:jc w:val="center"/>
            </w:pPr>
            <w:r>
              <w:rPr>
                <w:b/>
                <w:bCs/>
                <w:lang w:val="vi-VN"/>
              </w:rPr>
              <w:t>CHÍNH PHỦ</w:t>
            </w:r>
            <w:r>
              <w:rPr>
                <w:b/>
                <w:bCs/>
                <w:lang w:val="vi-VN"/>
              </w:rPr>
              <w:br/>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EB5E4E9" w14:textId="77777777" w:rsidR="00000000" w:rsidRDefault="00C55B91">
            <w:pPr>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14:paraId="5EF4553F"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6704ACD" w14:textId="77777777" w:rsidR="00000000" w:rsidRDefault="00C55B91">
            <w:pPr>
              <w:jc w:val="center"/>
            </w:pPr>
            <w:r>
              <w:rPr>
                <w:color w:val="000000"/>
                <w:lang w:val="vi-VN"/>
              </w:rPr>
              <w:t>Số: 146/2020/NĐ-CP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CF28565" w14:textId="77777777" w:rsidR="00000000" w:rsidRDefault="00C55B91">
            <w:pPr>
              <w:jc w:val="right"/>
            </w:pPr>
            <w:r>
              <w:rPr>
                <w:i/>
                <w:iCs/>
                <w:lang w:val="vi-VN"/>
              </w:rPr>
              <w:t>Hà Nội, ngày 18 tháng 12 năm 2020</w:t>
            </w:r>
          </w:p>
        </w:tc>
      </w:tr>
    </w:tbl>
    <w:p w14:paraId="5E773EC2" w14:textId="77777777" w:rsidR="00000000" w:rsidRDefault="00C55B91">
      <w:pPr>
        <w:spacing w:after="120"/>
        <w:jc w:val="center"/>
      </w:pPr>
      <w:r>
        <w:rPr>
          <w:b/>
          <w:bCs/>
          <w:color w:val="000000"/>
        </w:rPr>
        <w:t> </w:t>
      </w:r>
    </w:p>
    <w:p w14:paraId="1FAF6F65" w14:textId="77777777" w:rsidR="00000000" w:rsidRDefault="00C55B91">
      <w:pPr>
        <w:spacing w:after="120"/>
        <w:jc w:val="center"/>
      </w:pPr>
      <w:bookmarkStart w:id="0" w:name="loai_1"/>
      <w:r>
        <w:rPr>
          <w:b/>
          <w:bCs/>
          <w:color w:val="000000"/>
          <w:lang w:val="vi-VN"/>
        </w:rPr>
        <w:t>NGHỊ ĐỊNH</w:t>
      </w:r>
      <w:bookmarkEnd w:id="0"/>
    </w:p>
    <w:p w14:paraId="28514425" w14:textId="77777777" w:rsidR="00000000" w:rsidRDefault="00C55B91">
      <w:pPr>
        <w:spacing w:after="120"/>
        <w:jc w:val="center"/>
      </w:pPr>
      <w:bookmarkStart w:id="1" w:name="loai_1_name"/>
      <w:r>
        <w:rPr>
          <w:color w:val="000000"/>
          <w:lang w:val="vi-VN"/>
        </w:rPr>
        <w:t xml:space="preserve">SỬA ĐỔI, BỔ SUNG ĐIỀU 5 NGHỊ ĐỊNH SỐ 20/2011/NĐ-CP NGÀY 23 THÁNG 3 NĂM 2011 CỦA CHÍNH PHỦ </w:t>
      </w:r>
      <w:r>
        <w:rPr>
          <w:color w:val="000000"/>
          <w:lang w:val="vi-VN"/>
        </w:rPr>
        <w:t>QUY ĐỊNH CHI TIẾT VÀ HƯỚNG DẪN THI HÀNH NGHỊ QUYẾT SỐ 55/2010/QH12 NGÀY 24 THÁNG 11 NĂM 2010 CỦA QUỐC HỘI VỀ MIỄN, GIẢM THUẾ SỬ DỤNG ĐẤT NÔNG NGHIỆP</w:t>
      </w:r>
      <w:bookmarkEnd w:id="1"/>
    </w:p>
    <w:p w14:paraId="50AFF9BC" w14:textId="77777777" w:rsidR="00000000" w:rsidRDefault="00C55B91">
      <w:pPr>
        <w:spacing w:after="120"/>
      </w:pPr>
      <w:r>
        <w:rPr>
          <w:i/>
          <w:iCs/>
          <w:color w:val="000000"/>
          <w:lang w:val="vi-VN"/>
        </w:rPr>
        <w:t xml:space="preserve">Căn cứ Luật Tổ chức Chính phủ ngày 19 tháng 6 năm 2015; Luật sửa đổi, bổ sung một số </w:t>
      </w:r>
      <w:r>
        <w:rPr>
          <w:i/>
          <w:iCs/>
        </w:rPr>
        <w:t>điều</w:t>
      </w:r>
      <w:r>
        <w:rPr>
          <w:i/>
          <w:iCs/>
          <w:color w:val="000000"/>
          <w:lang w:val="vi-VN"/>
        </w:rPr>
        <w:t xml:space="preserve"> của Luật Tổ chức </w:t>
      </w:r>
      <w:r>
        <w:rPr>
          <w:i/>
          <w:iCs/>
          <w:color w:val="000000"/>
          <w:lang w:val="vi-VN"/>
        </w:rPr>
        <w:t>Chính phủ và Luật Tổ chức chính quyền địa phương ngày 22 tháng 11 năm 2019;</w:t>
      </w:r>
    </w:p>
    <w:p w14:paraId="0A0C8747" w14:textId="77777777" w:rsidR="00000000" w:rsidRDefault="00C55B91">
      <w:pPr>
        <w:spacing w:after="120"/>
      </w:pPr>
      <w:r>
        <w:rPr>
          <w:i/>
          <w:iCs/>
          <w:color w:val="000000"/>
          <w:lang w:val="vi-VN"/>
        </w:rPr>
        <w:t>Căn cứ Luật Thuế sử dụng đất nông nghiệp ngày 10 tháng 7 năm 1993;</w:t>
      </w:r>
    </w:p>
    <w:p w14:paraId="1DAE6A70" w14:textId="77777777" w:rsidR="00000000" w:rsidRDefault="00C55B91">
      <w:pPr>
        <w:spacing w:after="120"/>
      </w:pPr>
      <w:r>
        <w:rPr>
          <w:i/>
          <w:iCs/>
          <w:color w:val="000000"/>
          <w:lang w:val="vi-VN"/>
        </w:rPr>
        <w:t>Căn cứ Nghị quyết số 107/2020/QH14 ngày 10 tháng 6 năm 2020 về kéo dài thời hạn miễn thuế sử dụng đất nông nghiệp</w:t>
      </w:r>
      <w:r>
        <w:rPr>
          <w:i/>
          <w:iCs/>
          <w:color w:val="000000"/>
          <w:lang w:val="vi-VN"/>
        </w:rPr>
        <w:t xml:space="preserve"> được quy định tại Nghị quyết số 55/2010/QH12 ngày 24 tháng 11 năm 2010 của Quốc hội về miễn, giảm thuế sử dụng đất nông nghiệp đã được sửa đổi, bổ sung một số </w:t>
      </w:r>
      <w:r>
        <w:rPr>
          <w:i/>
          <w:iCs/>
        </w:rPr>
        <w:t>điều</w:t>
      </w:r>
      <w:r>
        <w:rPr>
          <w:i/>
          <w:iCs/>
          <w:color w:val="000000"/>
          <w:lang w:val="vi-VN"/>
        </w:rPr>
        <w:t xml:space="preserve"> theo Nghị quyết </w:t>
      </w:r>
      <w:r>
        <w:rPr>
          <w:i/>
          <w:iCs/>
          <w:color w:val="000000"/>
        </w:rPr>
        <w:t xml:space="preserve">số </w:t>
      </w:r>
      <w:r>
        <w:rPr>
          <w:i/>
          <w:iCs/>
          <w:color w:val="000000"/>
          <w:lang w:val="vi-VN"/>
        </w:rPr>
        <w:t>28/2016/QH14 ngày 11 tháng 11 năm 2016 của Quốc hội;</w:t>
      </w:r>
    </w:p>
    <w:p w14:paraId="473614A4" w14:textId="77777777" w:rsidR="00000000" w:rsidRDefault="00C55B91">
      <w:pPr>
        <w:spacing w:after="120"/>
      </w:pPr>
      <w:r>
        <w:rPr>
          <w:i/>
          <w:iCs/>
          <w:color w:val="000000"/>
          <w:lang w:val="vi-VN"/>
        </w:rPr>
        <w:t>Theo đề nghị của Bộ</w:t>
      </w:r>
      <w:r>
        <w:rPr>
          <w:i/>
          <w:iCs/>
          <w:color w:val="000000"/>
          <w:lang w:val="vi-VN"/>
        </w:rPr>
        <w:t xml:space="preserve"> trưởng Bộ Tài chính;</w:t>
      </w:r>
    </w:p>
    <w:p w14:paraId="00C2BC23" w14:textId="77777777" w:rsidR="00000000" w:rsidRDefault="00C55B91">
      <w:pPr>
        <w:spacing w:after="120"/>
      </w:pPr>
      <w:r>
        <w:rPr>
          <w:i/>
          <w:iCs/>
          <w:color w:val="000000"/>
          <w:lang w:val="vi-VN"/>
        </w:rPr>
        <w:t xml:space="preserve">Chính phủ ban hành Nghị định sửa đổi, bổ sung </w:t>
      </w:r>
      <w:bookmarkStart w:id="2" w:name="dc_1"/>
      <w:r>
        <w:rPr>
          <w:i/>
          <w:iCs/>
        </w:rPr>
        <w:t>Điều 5 Nghị định số 20/2011/NĐ-CP</w:t>
      </w:r>
      <w:bookmarkEnd w:id="2"/>
      <w:r>
        <w:rPr>
          <w:i/>
          <w:iCs/>
          <w:color w:val="000000"/>
          <w:lang w:val="vi-VN"/>
        </w:rPr>
        <w:t xml:space="preserve"> ngày 23 tháng 3 năm 2011 của Chính phủ quy định chi </w:t>
      </w:r>
      <w:r>
        <w:rPr>
          <w:i/>
          <w:iCs/>
        </w:rPr>
        <w:t>tiết</w:t>
      </w:r>
      <w:r>
        <w:rPr>
          <w:i/>
          <w:iCs/>
          <w:color w:val="000000"/>
          <w:lang w:val="vi-VN"/>
        </w:rPr>
        <w:t xml:space="preserve"> và hướng dẫn thi hành Nghị quyết </w:t>
      </w:r>
      <w:r>
        <w:rPr>
          <w:i/>
          <w:iCs/>
          <w:color w:val="000000"/>
        </w:rPr>
        <w:t xml:space="preserve">số </w:t>
      </w:r>
      <w:r>
        <w:rPr>
          <w:i/>
          <w:iCs/>
          <w:color w:val="000000"/>
          <w:lang w:val="vi-VN"/>
        </w:rPr>
        <w:t xml:space="preserve">55/2010/QH12 ngày 24 tháng 11 năm 2010 về miễn, giảm thuế sử </w:t>
      </w:r>
      <w:r>
        <w:rPr>
          <w:i/>
          <w:iCs/>
          <w:color w:val="000000"/>
          <w:lang w:val="vi-VN"/>
        </w:rPr>
        <w:t>dụng đất nông nghiệp.</w:t>
      </w:r>
    </w:p>
    <w:p w14:paraId="49B8350D" w14:textId="77777777" w:rsidR="00000000" w:rsidRDefault="00C55B91">
      <w:pPr>
        <w:spacing w:after="120"/>
      </w:pPr>
      <w:bookmarkStart w:id="3" w:name="dieu_1"/>
      <w:r>
        <w:rPr>
          <w:b/>
          <w:bCs/>
        </w:rPr>
        <w:t>Điều 1. Sửa đổi, bổ sung</w:t>
      </w:r>
      <w:bookmarkEnd w:id="3"/>
      <w:r>
        <w:rPr>
          <w:b/>
          <w:bCs/>
        </w:rPr>
        <w:t xml:space="preserve"> </w:t>
      </w:r>
      <w:bookmarkStart w:id="4" w:name="dc_2"/>
      <w:r>
        <w:rPr>
          <w:b/>
          <w:bCs/>
        </w:rPr>
        <w:t>Điều 5 Nghị định số 20/2011/NĐ-CP</w:t>
      </w:r>
      <w:bookmarkEnd w:id="4"/>
      <w:r>
        <w:rPr>
          <w:b/>
          <w:bCs/>
        </w:rPr>
        <w:t xml:space="preserve"> </w:t>
      </w:r>
      <w:bookmarkStart w:id="5" w:name="dieu_1_name"/>
      <w:r>
        <w:rPr>
          <w:b/>
          <w:bCs/>
        </w:rPr>
        <w:t xml:space="preserve">ngày 23 tháng 3 năm 2011 của Chính phủ quy định chi tiết và hướng dẫn thi hành Nghị quyết số 55/2010/QH12 ngày 24 tháng 11 năm 2010 về miễn, giảm thuế sử dụng đất nông nghiệp </w:t>
      </w:r>
      <w:r>
        <w:rPr>
          <w:b/>
          <w:bCs/>
        </w:rPr>
        <w:t>như sau:</w:t>
      </w:r>
      <w:bookmarkEnd w:id="5"/>
    </w:p>
    <w:p w14:paraId="3AD7FF41" w14:textId="77777777" w:rsidR="00000000" w:rsidRDefault="00C55B91">
      <w:pPr>
        <w:spacing w:after="120"/>
      </w:pPr>
      <w:r>
        <w:rPr>
          <w:b/>
          <w:bCs/>
          <w:color w:val="000000"/>
          <w:lang w:val="vi-VN"/>
        </w:rPr>
        <w:t>“</w:t>
      </w:r>
      <w:r>
        <w:rPr>
          <w:b/>
          <w:bCs/>
        </w:rPr>
        <w:t>Điều</w:t>
      </w:r>
      <w:r>
        <w:rPr>
          <w:b/>
          <w:bCs/>
          <w:color w:val="000000"/>
          <w:lang w:val="vi-VN"/>
        </w:rPr>
        <w:t xml:space="preserve"> 5. Hạng đất tính thuế</w:t>
      </w:r>
    </w:p>
    <w:p w14:paraId="0B682327" w14:textId="77777777" w:rsidR="00000000" w:rsidRDefault="00C55B91">
      <w:pPr>
        <w:spacing w:after="120"/>
      </w:pPr>
      <w:r>
        <w:rPr>
          <w:color w:val="000000"/>
          <w:lang w:val="vi-VN"/>
        </w:rPr>
        <w:t>Kéo dài thời hạn thực hiện hạng đất tính thuế sử dụng đất nông nghiệp đến hết ngày 31 tháng 12 năm 2025 trên cơ sở hạng đất đã được quy định và thực hiện trong giai đoạn từ năm 2011 đến hết năm 2020.</w:t>
      </w:r>
    </w:p>
    <w:p w14:paraId="35194E09" w14:textId="77777777" w:rsidR="00000000" w:rsidRDefault="00C55B91">
      <w:pPr>
        <w:spacing w:after="120"/>
      </w:pPr>
      <w:r>
        <w:rPr>
          <w:color w:val="000000"/>
          <w:lang w:val="vi-VN"/>
        </w:rPr>
        <w:t>Trường hợp địa phươ</w:t>
      </w:r>
      <w:r>
        <w:rPr>
          <w:color w:val="000000"/>
          <w:lang w:val="vi-VN"/>
        </w:rPr>
        <w:t xml:space="preserve">ng được Thủ tướng Chính phủ phê duyệt </w:t>
      </w:r>
      <w:r>
        <w:t>điều</w:t>
      </w:r>
      <w:r>
        <w:rPr>
          <w:color w:val="000000"/>
          <w:lang w:val="vi-VN"/>
        </w:rPr>
        <w:t xml:space="preserve"> chỉnh hạng đất tính thuế sử dụng đất nông nghiệp theo quy định thì thực hiện theo quy định đó đến hết ngày 31 tháng 12 năm 2025”.</w:t>
      </w:r>
    </w:p>
    <w:p w14:paraId="26D371F5" w14:textId="77777777" w:rsidR="00000000" w:rsidRDefault="00C55B91">
      <w:pPr>
        <w:spacing w:after="120"/>
      </w:pPr>
      <w:bookmarkStart w:id="6" w:name="dieu_2"/>
      <w:r>
        <w:rPr>
          <w:b/>
          <w:bCs/>
        </w:rPr>
        <w:t>Điều 2. Điều khoản thi hành</w:t>
      </w:r>
      <w:bookmarkEnd w:id="6"/>
    </w:p>
    <w:p w14:paraId="18C790CF" w14:textId="77777777" w:rsidR="00000000" w:rsidRDefault="00C55B91">
      <w:pPr>
        <w:spacing w:after="120"/>
      </w:pPr>
      <w:r>
        <w:rPr>
          <w:color w:val="000000"/>
          <w:lang w:val="vi-VN"/>
        </w:rPr>
        <w:t xml:space="preserve">1. Nghị định này có hiệu lực thi hành từ ngày 01 tháng </w:t>
      </w:r>
      <w:r>
        <w:rPr>
          <w:color w:val="000000"/>
          <w:lang w:val="vi-VN"/>
        </w:rPr>
        <w:t>01 năm 2021.</w:t>
      </w:r>
    </w:p>
    <w:p w14:paraId="3B0B0FA5" w14:textId="77777777" w:rsidR="00000000" w:rsidRDefault="00C55B91">
      <w:pPr>
        <w:spacing w:after="120"/>
      </w:pPr>
      <w:r>
        <w:rPr>
          <w:color w:val="000000"/>
        </w:rPr>
        <w:t xml:space="preserve">2. </w:t>
      </w:r>
      <w:r>
        <w:rPr>
          <w:color w:val="000000"/>
          <w:lang w:val="vi-VN"/>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3263FA7E" w14:textId="77777777" w:rsidR="00000000" w:rsidRDefault="00C55B91">
      <w:pPr>
        <w:spacing w:after="120"/>
        <w:jc w:val="both"/>
      </w:pPr>
      <w:r>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40"/>
        <w:gridCol w:w="3960"/>
      </w:tblGrid>
      <w:tr w:rsidR="00000000" w14:paraId="40AE5777" w14:textId="77777777">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408D8D8A" w14:textId="77777777" w:rsidR="00000000" w:rsidRDefault="00C55B91">
            <w:pPr>
              <w:spacing w:after="120"/>
            </w:pPr>
            <w:r>
              <w:rPr>
                <w:b/>
                <w:bCs/>
                <w:i/>
                <w:iCs/>
                <w:color w:val="000000"/>
                <w:sz w:val="16"/>
              </w:rPr>
              <w:t> </w:t>
            </w:r>
          </w:p>
          <w:p w14:paraId="117BB1D7" w14:textId="77777777" w:rsidR="00000000" w:rsidRDefault="00C55B91">
            <w:r>
              <w:rPr>
                <w:b/>
                <w:bCs/>
                <w:i/>
                <w:iCs/>
                <w:color w:val="000000"/>
                <w:lang w:val="vi-VN"/>
              </w:rPr>
              <w:lastRenderedPageBreak/>
              <w:t>Nơi nhận:</w:t>
            </w:r>
            <w:r>
              <w:rPr>
                <w:b/>
                <w:bCs/>
                <w:i/>
                <w:iCs/>
                <w:color w:val="000000"/>
              </w:rPr>
              <w:br/>
            </w:r>
            <w:r>
              <w:rPr>
                <w:color w:val="000000"/>
                <w:sz w:val="16"/>
              </w:rPr>
              <w:t xml:space="preserve">- </w:t>
            </w:r>
            <w:r>
              <w:rPr>
                <w:color w:val="000000"/>
                <w:sz w:val="16"/>
                <w:lang w:val="vi-VN"/>
              </w:rPr>
              <w:t>B</w:t>
            </w:r>
            <w:r>
              <w:rPr>
                <w:color w:val="000000"/>
                <w:sz w:val="16"/>
                <w:lang w:val="vi-VN"/>
              </w:rPr>
              <w:t>an Bí thư Trung ương Đảng;</w:t>
            </w:r>
            <w:r>
              <w:rPr>
                <w:color w:val="000000"/>
                <w:sz w:val="16"/>
                <w:lang w:val="vi-VN"/>
              </w:rPr>
              <w:br/>
            </w:r>
            <w:r>
              <w:rPr>
                <w:color w:val="000000"/>
                <w:sz w:val="16"/>
              </w:rPr>
              <w:t xml:space="preserve">- </w:t>
            </w:r>
            <w:r>
              <w:rPr>
                <w:color w:val="000000"/>
                <w:sz w:val="16"/>
                <w:lang w:val="vi-VN"/>
              </w:rPr>
              <w:t>Thủ tướng, các Phó Thủ tướng Chính phủ;</w:t>
            </w:r>
            <w:r>
              <w:rPr>
                <w:color w:val="000000"/>
                <w:sz w:val="16"/>
                <w:lang w:val="vi-VN"/>
              </w:rPr>
              <w:br/>
            </w:r>
            <w:r>
              <w:rPr>
                <w:color w:val="000000"/>
                <w:sz w:val="16"/>
              </w:rPr>
              <w:t xml:space="preserve">- </w:t>
            </w:r>
            <w:r>
              <w:rPr>
                <w:color w:val="000000"/>
                <w:sz w:val="16"/>
                <w:lang w:val="vi-VN"/>
              </w:rPr>
              <w:t>Các bộ, cơ quan ngang bộ, cơ quan thuộc Chính phủ;</w:t>
            </w:r>
            <w:r>
              <w:rPr>
                <w:color w:val="000000"/>
                <w:sz w:val="16"/>
                <w:lang w:val="vi-VN"/>
              </w:rPr>
              <w:br/>
            </w:r>
            <w:r>
              <w:rPr>
                <w:color w:val="000000"/>
                <w:sz w:val="16"/>
              </w:rPr>
              <w:t xml:space="preserve">- </w:t>
            </w:r>
            <w:r>
              <w:rPr>
                <w:color w:val="000000"/>
                <w:sz w:val="16"/>
                <w:lang w:val="vi-VN"/>
              </w:rPr>
              <w:t>HĐND, UBND các tỉnh, thành phố trực thuộc trung</w:t>
            </w:r>
            <w:r>
              <w:rPr>
                <w:color w:val="000000"/>
                <w:sz w:val="16"/>
              </w:rPr>
              <w:t xml:space="preserve"> ương;</w:t>
            </w:r>
            <w:r>
              <w:rPr>
                <w:color w:val="000000"/>
                <w:sz w:val="16"/>
                <w:lang w:val="vi-VN"/>
              </w:rPr>
              <w:br/>
            </w:r>
            <w:r>
              <w:rPr>
                <w:color w:val="000000"/>
                <w:sz w:val="16"/>
              </w:rPr>
              <w:t xml:space="preserve">- </w:t>
            </w:r>
            <w:r>
              <w:rPr>
                <w:color w:val="000000"/>
                <w:sz w:val="16"/>
                <w:lang w:val="vi-VN"/>
              </w:rPr>
              <w:t>Văn phòng Trung ương và các Ban của Đảng;</w:t>
            </w:r>
            <w:r>
              <w:rPr>
                <w:color w:val="000000"/>
                <w:sz w:val="16"/>
                <w:lang w:val="vi-VN"/>
              </w:rPr>
              <w:br/>
            </w:r>
            <w:r>
              <w:rPr>
                <w:color w:val="000000"/>
                <w:sz w:val="16"/>
              </w:rPr>
              <w:t xml:space="preserve">- </w:t>
            </w:r>
            <w:r>
              <w:rPr>
                <w:color w:val="000000"/>
                <w:sz w:val="16"/>
                <w:lang w:val="vi-VN"/>
              </w:rPr>
              <w:t>Văn phòng Tổng Bí thư;</w:t>
            </w:r>
            <w:r>
              <w:rPr>
                <w:color w:val="000000"/>
                <w:sz w:val="16"/>
                <w:lang w:val="vi-VN"/>
              </w:rPr>
              <w:br/>
            </w:r>
            <w:r>
              <w:rPr>
                <w:color w:val="000000"/>
                <w:sz w:val="16"/>
              </w:rPr>
              <w:t xml:space="preserve">- </w:t>
            </w:r>
            <w:r>
              <w:rPr>
                <w:color w:val="000000"/>
                <w:sz w:val="16"/>
                <w:lang w:val="vi-VN"/>
              </w:rPr>
              <w:t>Văn phò</w:t>
            </w:r>
            <w:r>
              <w:rPr>
                <w:color w:val="000000"/>
                <w:sz w:val="16"/>
                <w:lang w:val="vi-VN"/>
              </w:rPr>
              <w:t>ng Chủ tịch nước;</w:t>
            </w:r>
            <w:r>
              <w:rPr>
                <w:color w:val="000000"/>
                <w:sz w:val="16"/>
                <w:lang w:val="vi-VN"/>
              </w:rPr>
              <w:br/>
            </w:r>
            <w:r>
              <w:rPr>
                <w:color w:val="000000"/>
                <w:sz w:val="16"/>
              </w:rPr>
              <w:t xml:space="preserve">- </w:t>
            </w:r>
            <w:r>
              <w:rPr>
                <w:color w:val="000000"/>
                <w:sz w:val="16"/>
                <w:lang w:val="vi-VN"/>
              </w:rPr>
              <w:t>Hội đồng Dân tộc và các Ủy ban của Quốc hội;</w:t>
            </w:r>
            <w:r>
              <w:rPr>
                <w:color w:val="000000"/>
                <w:sz w:val="16"/>
                <w:lang w:val="vi-VN"/>
              </w:rPr>
              <w:br/>
            </w:r>
            <w:r>
              <w:rPr>
                <w:color w:val="000000"/>
                <w:sz w:val="16"/>
              </w:rPr>
              <w:t xml:space="preserve">- </w:t>
            </w:r>
            <w:r>
              <w:rPr>
                <w:color w:val="000000"/>
                <w:sz w:val="16"/>
                <w:lang w:val="vi-VN"/>
              </w:rPr>
              <w:t>Văn phòng Quốc hội;</w:t>
            </w:r>
            <w:r>
              <w:rPr>
                <w:color w:val="000000"/>
                <w:sz w:val="16"/>
                <w:lang w:val="vi-VN"/>
              </w:rPr>
              <w:br/>
            </w:r>
            <w:r>
              <w:rPr>
                <w:color w:val="000000"/>
                <w:sz w:val="16"/>
              </w:rPr>
              <w:t xml:space="preserve">- </w:t>
            </w:r>
            <w:r>
              <w:rPr>
                <w:color w:val="000000"/>
                <w:sz w:val="16"/>
                <w:lang w:val="vi-VN"/>
              </w:rPr>
              <w:t>Tòa án nhân dân tối cao;</w:t>
            </w:r>
            <w:r>
              <w:rPr>
                <w:color w:val="000000"/>
                <w:sz w:val="16"/>
                <w:lang w:val="vi-VN"/>
              </w:rPr>
              <w:br/>
            </w:r>
            <w:r>
              <w:rPr>
                <w:color w:val="000000"/>
                <w:sz w:val="16"/>
              </w:rPr>
              <w:t xml:space="preserve">- </w:t>
            </w:r>
            <w:r>
              <w:rPr>
                <w:color w:val="000000"/>
                <w:sz w:val="16"/>
                <w:lang w:val="vi-VN"/>
              </w:rPr>
              <w:t>Viện kiểm sát nhân dân tối cao;</w:t>
            </w:r>
            <w:r>
              <w:rPr>
                <w:color w:val="000000"/>
                <w:sz w:val="16"/>
                <w:lang w:val="vi-VN"/>
              </w:rPr>
              <w:br/>
            </w:r>
            <w:r>
              <w:rPr>
                <w:color w:val="000000"/>
                <w:sz w:val="16"/>
              </w:rPr>
              <w:t xml:space="preserve">- </w:t>
            </w:r>
            <w:r>
              <w:rPr>
                <w:color w:val="000000"/>
                <w:sz w:val="16"/>
                <w:lang w:val="vi-VN"/>
              </w:rPr>
              <w:t>Kiểm toán Nhà nước;</w:t>
            </w:r>
            <w:r>
              <w:rPr>
                <w:color w:val="000000"/>
                <w:sz w:val="16"/>
                <w:lang w:val="vi-VN"/>
              </w:rPr>
              <w:br/>
            </w:r>
            <w:r>
              <w:rPr>
                <w:color w:val="000000"/>
                <w:sz w:val="16"/>
              </w:rPr>
              <w:t xml:space="preserve">- </w:t>
            </w:r>
            <w:r>
              <w:rPr>
                <w:color w:val="000000"/>
                <w:sz w:val="16"/>
                <w:lang w:val="vi-VN"/>
              </w:rPr>
              <w:t>Ủy ban Giám sát tài chính Quốc gia;</w:t>
            </w:r>
            <w:r>
              <w:rPr>
                <w:color w:val="000000"/>
                <w:sz w:val="16"/>
                <w:lang w:val="vi-VN"/>
              </w:rPr>
              <w:br/>
            </w:r>
            <w:r>
              <w:rPr>
                <w:color w:val="000000"/>
                <w:sz w:val="16"/>
              </w:rPr>
              <w:t xml:space="preserve">- </w:t>
            </w:r>
            <w:r>
              <w:rPr>
                <w:color w:val="000000"/>
                <w:sz w:val="16"/>
                <w:lang w:val="vi-VN"/>
              </w:rPr>
              <w:t>Ngân hàng Chính sách xã hội;</w:t>
            </w:r>
            <w:r>
              <w:rPr>
                <w:color w:val="000000"/>
                <w:sz w:val="16"/>
                <w:lang w:val="vi-VN"/>
              </w:rPr>
              <w:br/>
            </w:r>
            <w:r>
              <w:rPr>
                <w:color w:val="000000"/>
                <w:sz w:val="16"/>
              </w:rPr>
              <w:t xml:space="preserve">- </w:t>
            </w:r>
            <w:r>
              <w:rPr>
                <w:color w:val="000000"/>
                <w:sz w:val="16"/>
                <w:lang w:val="vi-VN"/>
              </w:rPr>
              <w:t xml:space="preserve">Ngân hàng Phát </w:t>
            </w:r>
            <w:r>
              <w:rPr>
                <w:color w:val="000000"/>
                <w:sz w:val="16"/>
                <w:lang w:val="vi-VN"/>
              </w:rPr>
              <w:t>triển Việt Nam;</w:t>
            </w:r>
            <w:r>
              <w:rPr>
                <w:color w:val="000000"/>
                <w:sz w:val="16"/>
                <w:lang w:val="vi-VN"/>
              </w:rPr>
              <w:br/>
            </w:r>
            <w:r>
              <w:rPr>
                <w:color w:val="000000"/>
                <w:sz w:val="16"/>
              </w:rPr>
              <w:t xml:space="preserve">- </w:t>
            </w:r>
            <w:r>
              <w:rPr>
                <w:color w:val="000000"/>
                <w:sz w:val="16"/>
                <w:lang w:val="vi-VN"/>
              </w:rPr>
              <w:t>Ủy ban Trung ương Mặt trận Tổ quốc Việt Nam;</w:t>
            </w:r>
            <w:r>
              <w:rPr>
                <w:color w:val="000000"/>
                <w:sz w:val="16"/>
                <w:lang w:val="vi-VN"/>
              </w:rPr>
              <w:br/>
            </w:r>
            <w:r>
              <w:rPr>
                <w:color w:val="000000"/>
                <w:sz w:val="16"/>
              </w:rPr>
              <w:t xml:space="preserve">- </w:t>
            </w:r>
            <w:r>
              <w:rPr>
                <w:color w:val="000000"/>
                <w:sz w:val="16"/>
                <w:lang w:val="vi-VN"/>
              </w:rPr>
              <w:t>Cơ quan trung ương của các đoàn thể;</w:t>
            </w:r>
            <w:r>
              <w:rPr>
                <w:color w:val="000000"/>
                <w:sz w:val="16"/>
                <w:lang w:val="vi-VN"/>
              </w:rPr>
              <w:br/>
            </w:r>
            <w:r>
              <w:rPr>
                <w:color w:val="000000"/>
                <w:sz w:val="16"/>
              </w:rPr>
              <w:t xml:space="preserve">- VPCP: BTCN, </w:t>
            </w:r>
            <w:r>
              <w:rPr>
                <w:color w:val="000000"/>
                <w:sz w:val="16"/>
                <w:lang w:val="vi-VN"/>
              </w:rPr>
              <w:t xml:space="preserve">các </w:t>
            </w:r>
            <w:r>
              <w:rPr>
                <w:color w:val="000000"/>
                <w:sz w:val="16"/>
              </w:rPr>
              <w:t xml:space="preserve">PCN, </w:t>
            </w:r>
            <w:r>
              <w:rPr>
                <w:color w:val="000000"/>
                <w:sz w:val="16"/>
                <w:lang w:val="vi-VN"/>
              </w:rPr>
              <w:t>Trợ lý TTg, TGĐ cổng TTĐT, các Vụ, Cục, đơn vị trực thuộc, Công báo;</w:t>
            </w:r>
            <w:r>
              <w:rPr>
                <w:color w:val="000000"/>
                <w:sz w:val="16"/>
                <w:lang w:val="vi-VN"/>
              </w:rPr>
              <w:br/>
            </w:r>
            <w:r>
              <w:rPr>
                <w:color w:val="000000"/>
                <w:sz w:val="16"/>
              </w:rPr>
              <w:t xml:space="preserve">- </w:t>
            </w:r>
            <w:r>
              <w:rPr>
                <w:color w:val="000000"/>
                <w:sz w:val="16"/>
                <w:lang w:val="vi-VN"/>
              </w:rPr>
              <w:t>Lưu: VT, KTTH (2b).</w:t>
            </w:r>
          </w:p>
        </w:tc>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14:paraId="51623C41" w14:textId="77777777" w:rsidR="00000000" w:rsidRDefault="00C55B91">
            <w:pPr>
              <w:jc w:val="center"/>
            </w:pPr>
            <w:r>
              <w:rPr>
                <w:b/>
                <w:bCs/>
                <w:color w:val="000000"/>
                <w:lang w:val="vi-VN"/>
              </w:rPr>
              <w:lastRenderedPageBreak/>
              <w:t>TM. CHÍNH PHỦ</w:t>
            </w:r>
            <w:r>
              <w:rPr>
                <w:color w:val="000000"/>
                <w:lang w:val="vi-VN"/>
              </w:rPr>
              <w:br/>
            </w:r>
            <w:r>
              <w:rPr>
                <w:b/>
                <w:bCs/>
                <w:color w:val="000000"/>
                <w:lang w:val="vi-VN"/>
              </w:rPr>
              <w:t>THỦ TƯỚNG</w:t>
            </w:r>
            <w:r>
              <w:rPr>
                <w:b/>
                <w:bCs/>
                <w:color w:val="000000"/>
                <w:lang w:val="vi-VN"/>
              </w:rPr>
              <w:br/>
            </w:r>
            <w:r>
              <w:rPr>
                <w:b/>
                <w:bCs/>
                <w:color w:val="000000"/>
                <w:lang w:val="vi-VN"/>
              </w:rPr>
              <w:lastRenderedPageBreak/>
              <w:br/>
            </w:r>
            <w:r>
              <w:rPr>
                <w:b/>
                <w:bCs/>
                <w:color w:val="000000"/>
              </w:rPr>
              <w:br/>
            </w:r>
            <w:r>
              <w:rPr>
                <w:b/>
                <w:bCs/>
                <w:color w:val="000000"/>
                <w:lang w:val="vi-VN"/>
              </w:rPr>
              <w:br/>
            </w:r>
            <w:r>
              <w:rPr>
                <w:b/>
                <w:bCs/>
                <w:color w:val="000000"/>
                <w:lang w:val="vi-VN"/>
              </w:rPr>
              <w:br/>
              <w:t xml:space="preserve">Nguyễn Xuân </w:t>
            </w:r>
            <w:r>
              <w:rPr>
                <w:b/>
                <w:bCs/>
                <w:color w:val="000000"/>
                <w:lang w:val="vi-VN"/>
              </w:rPr>
              <w:t>Phúc</w:t>
            </w:r>
          </w:p>
        </w:tc>
      </w:tr>
    </w:tbl>
    <w:p w14:paraId="7B5E3F80" w14:textId="77777777" w:rsidR="00000000" w:rsidRDefault="00C55B91">
      <w:pPr>
        <w:spacing w:after="120"/>
        <w:jc w:val="both"/>
      </w:pPr>
      <w:r>
        <w:rPr>
          <w:b/>
          <w:bCs/>
          <w:i/>
          <w:iCs/>
          <w:color w:val="000000"/>
          <w:lang w:val="vi-VN"/>
        </w:rPr>
        <w:lastRenderedPageBreak/>
        <w:t> </w:t>
      </w:r>
    </w:p>
    <w:p w14:paraId="69B71872" w14:textId="77777777" w:rsidR="00C55B91" w:rsidRDefault="00C55B91">
      <w:pPr>
        <w:spacing w:after="120"/>
        <w:jc w:val="both"/>
      </w:pPr>
      <w:r>
        <w:rPr>
          <w:color w:val="000000"/>
          <w:lang w:val="vi-VN"/>
        </w:rPr>
        <w:t> </w:t>
      </w:r>
    </w:p>
    <w:sectPr w:rsidR="00C55B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00"/>
    <w:rsid w:val="00B93D00"/>
    <w:rsid w:val="00C55B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3713B"/>
  <w15:chartTrackingRefBased/>
  <w15:docId w15:val="{C7721972-733A-413B-94AF-202C5AF9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Thùy Linh</dc:creator>
  <cp:keywords/>
  <cp:lastModifiedBy>Ngô Thị Thùy Linh</cp:lastModifiedBy>
  <cp:revision>2</cp:revision>
  <cp:lastPrinted>1601-01-01T00:00:00Z</cp:lastPrinted>
  <dcterms:created xsi:type="dcterms:W3CDTF">2021-07-08T04:19:00Z</dcterms:created>
  <dcterms:modified xsi:type="dcterms:W3CDTF">2021-07-08T04:19:00Z</dcterms:modified>
</cp:coreProperties>
</file>