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Ộ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95/2020/TT-BTC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16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ng 11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2020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loai_1" w:id="0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Ư</w:t>
      </w:r>
      <w:bookmarkEnd w:id="0"/>
    </w:p>
    <w:p>
      <w:pPr>
        <w:pStyle w:val="Normal.0"/>
        <w:spacing w:before="120" w:after="100"/>
        <w:jc w:val="center"/>
      </w:pPr>
      <w:bookmarkStart w:name="loai_1_name" w:id="1"/>
      <w:r>
        <w:rPr>
          <w:rtl w:val="0"/>
        </w:rPr>
        <w:t>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</w:t>
      </w:r>
      <w:bookmarkEnd w:id="1"/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26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2019;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87/2017/N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26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7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2017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 xml:space="preserve">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ng, nhi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, quy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n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 xml:space="preserve">Theo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ch 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y ban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Nh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ẫ</w:t>
      </w:r>
      <w:r>
        <w:rPr>
          <w:i w:val="1"/>
          <w:iCs w:val="1"/>
          <w:rtl w:val="0"/>
        </w:rPr>
        <w:t>n gi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th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n.</w:t>
      </w:r>
    </w:p>
    <w:p>
      <w:pPr>
        <w:pStyle w:val="Normal.0"/>
        <w:spacing w:before="120" w:after="10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</w:t>
      </w:r>
      <w:bookmarkEnd w:id="2"/>
    </w:p>
    <w:p>
      <w:pPr>
        <w:pStyle w:val="Normal.0"/>
        <w:spacing w:before="120" w:after="100"/>
        <w:jc w:val="center"/>
      </w:pPr>
      <w:bookmarkStart w:name="chuong_1_name" w:id="3"/>
      <w:r>
        <w:rPr>
          <w:b w:val="1"/>
          <w:bCs w:val="1"/>
          <w:rtl w:val="0"/>
          <w:lang w:val="es-ES_tradnl"/>
        </w:rPr>
        <w:t xml:space="preserve">QUY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CHUNG</w:t>
      </w:r>
      <w:bookmarkEnd w:id="3"/>
    </w:p>
    <w:p>
      <w:pPr>
        <w:pStyle w:val="Normal.0"/>
        <w:spacing w:before="120" w:after="10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sv-SE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fr-FR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  <w:lang w:val="pt-PT"/>
        </w:rPr>
        <w:t>nh</w:t>
      </w:r>
      <w:bookmarkEnd w:id="4"/>
    </w:p>
    <w:p>
      <w:pPr>
        <w:pStyle w:val="Normal.0"/>
        <w:spacing w:before="120" w:after="100"/>
      </w:pP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sv-SE"/>
        </w:rPr>
        <w:t>ch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2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2.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5"/>
    </w:p>
    <w:p>
      <w:pPr>
        <w:pStyle w:val="Normal.0"/>
        <w:spacing w:before="120" w:after="100"/>
      </w:pP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en-US"/>
        </w:rPr>
        <w:t>c ch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>à 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 xml:space="preserve">t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1. Ch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bao g</w:t>
      </w:r>
      <w:r>
        <w:rPr>
          <w:rtl w:val="0"/>
        </w:rPr>
        <w:t>ồ</w:t>
      </w:r>
      <w:r>
        <w:rPr>
          <w:rtl w:val="0"/>
          <w:lang w:val="de-DE"/>
        </w:rPr>
        <w:t>m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Ch</w:t>
      </w:r>
      <w:r>
        <w:rPr>
          <w:rtl w:val="0"/>
        </w:rPr>
        <w:t xml:space="preserve">í </w:t>
      </w:r>
      <w:r>
        <w:rPr>
          <w:rtl w:val="0"/>
          <w:lang w:val="pt-PT"/>
        </w:rPr>
        <w:t xml:space="preserve">Minh (sau </w:t>
      </w:r>
      <w:r>
        <w:rPr>
          <w:rtl w:val="0"/>
        </w:rPr>
        <w:t>đâ</w:t>
      </w:r>
      <w:r>
        <w:rPr>
          <w:rtl w:val="0"/>
          <w:lang w:val="en-US"/>
        </w:rPr>
        <w:t>y g</w:t>
      </w:r>
      <w:r>
        <w:rPr>
          <w:rtl w:val="0"/>
        </w:rPr>
        <w:t>ọ</w:t>
      </w:r>
      <w:r>
        <w:rPr>
          <w:rtl w:val="0"/>
          <w:lang w:val="de-DE"/>
        </w:rPr>
        <w:t>i chung l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n);</w:t>
      </w:r>
    </w:p>
    <w:p>
      <w:pPr>
        <w:pStyle w:val="Normal.0"/>
        <w:spacing w:before="120" w:after="100"/>
      </w:pPr>
      <w:r>
        <w:rPr>
          <w:rtl w:val="0"/>
        </w:rPr>
        <w:t>d) T</w:t>
      </w:r>
      <w:r>
        <w:rPr>
          <w:rtl w:val="0"/>
        </w:rPr>
        <w:t>ổ</w:t>
      </w:r>
      <w:r>
        <w:rPr>
          <w:rtl w:val="0"/>
          <w:lang w:val="da-DK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  <w:lang w:val="en-US"/>
        </w:rPr>
        <w:t>)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(kh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  <w:lang w:val="en-US"/>
        </w:rPr>
        <w:t>m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t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de-DE"/>
        </w:rPr>
        <w:t>i sinh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tr</w:t>
      </w:r>
      <w:r>
        <w:rPr>
          <w:rtl w:val="0"/>
        </w:rPr>
        <w:t>á</w:t>
      </w:r>
      <w:r>
        <w:rPr>
          <w:rtl w:val="0"/>
          <w:lang w:val="fr-FR"/>
        </w:rPr>
        <w:t>i phi</w:t>
      </w:r>
      <w:r>
        <w:rPr>
          <w:rtl w:val="0"/>
        </w:rPr>
        <w:t>ế</w:t>
      </w:r>
      <w:r>
        <w:rPr>
          <w:rtl w:val="0"/>
          <w:lang w:val="fr-FR"/>
        </w:rPr>
        <w:t>u Ch</w:t>
      </w:r>
      <w:r>
        <w:rPr>
          <w:rtl w:val="0"/>
        </w:rPr>
        <w:t>í</w:t>
      </w:r>
      <w:r>
        <w:rPr>
          <w:rtl w:val="0"/>
          <w:lang w:val="en-US"/>
        </w:rPr>
        <w:t>nh ph</w:t>
      </w:r>
      <w:r>
        <w:rPr>
          <w:rtl w:val="0"/>
        </w:rPr>
        <w:t>ủ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tham gia v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o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nh giao d</w:t>
      </w:r>
      <w:r>
        <w:rPr>
          <w:rtl w:val="0"/>
        </w:rPr>
        <w:t>ị</w:t>
      </w:r>
      <w:r>
        <w:rPr>
          <w:rtl w:val="0"/>
        </w:rPr>
        <w:t>ch, cung c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  <w:lang w:val="fr-FR"/>
        </w:rPr>
        <w:t>c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n,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  <w:lang w:val="en-US"/>
        </w:rPr>
        <w:t>b)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en-US"/>
        </w:rPr>
        <w:t>ch,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  <w:lang w:val="en-US"/>
        </w:rPr>
        <w:t>c)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da-DK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bao g</w:t>
      </w:r>
      <w:r>
        <w:rPr>
          <w:rtl w:val="0"/>
        </w:rPr>
        <w:t>ồ</w:t>
      </w:r>
      <w:r>
        <w:rPr>
          <w:rtl w:val="0"/>
          <w:lang w:val="en-US"/>
        </w:rPr>
        <w:t>m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ô</w:t>
      </w:r>
      <w:r>
        <w:rPr>
          <w:rtl w:val="0"/>
          <w:lang w:val="en-US"/>
        </w:rPr>
        <w:t>ng ty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s-ES_tradnl"/>
        </w:rPr>
        <w:t>n,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ô</w:t>
      </w:r>
      <w:r>
        <w:rPr>
          <w:rtl w:val="0"/>
          <w:lang w:val="sv-SE"/>
        </w:rPr>
        <w:t xml:space="preserve">ng ty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khi tham gia cung c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  <w:lang w:val="fr-FR"/>
        </w:rPr>
        <w:t>c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ch,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  <w:lang w:val="en-US"/>
        </w:rPr>
        <w:t>, thanh to</w:t>
      </w:r>
      <w:r>
        <w:rPr>
          <w:rtl w:val="0"/>
        </w:rPr>
        <w:t>á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e)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  <w:lang w:val="it-IT"/>
        </w:rPr>
        <w:t>tham gia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g)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t,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h)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bookmarkStart w:name="dieu_3" w:id="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3.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ch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ữ</w:t>
      </w:r>
      <w:bookmarkEnd w:id="6"/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 xml:space="preserve">ữ </w:t>
      </w:r>
      <w:r>
        <w:rPr>
          <w:rtl w:val="0"/>
        </w:rPr>
        <w:t xml:space="preserve">sau </w:t>
      </w:r>
      <w:r>
        <w:rPr>
          <w:rtl w:val="0"/>
        </w:rPr>
        <w:t>đâ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hi</w:t>
      </w:r>
      <w:r>
        <w:rPr>
          <w:rtl w:val="0"/>
        </w:rPr>
        <w:t>ể</w:t>
      </w:r>
      <w:r>
        <w:rPr>
          <w:rtl w:val="0"/>
          <w:lang w:val="pt-PT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  <w:lang w:val="da-DK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mua, b</w:t>
      </w:r>
      <w:r>
        <w:rPr>
          <w:rtl w:val="0"/>
        </w:rPr>
        <w:t>á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qua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  <w:lang w:val="de-DE"/>
        </w:rPr>
        <w:t>ch b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  <w:lang w:val="en-US"/>
        </w:rPr>
        <w:t>t th</w:t>
      </w:r>
      <w:r>
        <w:rPr>
          <w:i w:val="1"/>
          <w:iCs w:val="1"/>
          <w:rtl w:val="0"/>
        </w:rPr>
        <w:t>ườ</w:t>
      </w:r>
      <w:r>
        <w:rPr>
          <w:i w:val="1"/>
          <w:iCs w:val="1"/>
          <w:rtl w:val="0"/>
        </w:rPr>
        <w:t>ng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ch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  <w:lang w:val="pt-PT"/>
        </w:rPr>
        <w:t>nh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do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ban 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  <w:lang w:val="it-IT"/>
        </w:rPr>
        <w:t>ch nghi v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 xml:space="preserve">n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  <w:lang w:val="da-DK"/>
        </w:rPr>
        <w:t>ch,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l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  <w:lang w:val="it-IT"/>
        </w:rPr>
        <w:t>nghi v</w:t>
      </w:r>
      <w:r>
        <w:rPr>
          <w:rtl w:val="0"/>
        </w:rPr>
        <w:t>ấ</w:t>
      </w:r>
      <w:r>
        <w:rPr>
          <w:rtl w:val="0"/>
        </w:rPr>
        <w:t>n t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de-DE"/>
        </w:rPr>
        <w:t>n di</w:t>
      </w:r>
      <w:r>
        <w:rPr>
          <w:rtl w:val="0"/>
        </w:rPr>
        <w:t>ễ</w:t>
      </w:r>
      <w:r>
        <w:rPr>
          <w:rtl w:val="0"/>
        </w:rPr>
        <w:t>n bi</w:t>
      </w:r>
      <w:r>
        <w:rPr>
          <w:rtl w:val="0"/>
        </w:rPr>
        <w:t>ế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,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  <w:lang w:val="pt-PT"/>
        </w:rPr>
        <w:t>c nhi</w:t>
      </w:r>
      <w:r>
        <w:rPr>
          <w:rtl w:val="0"/>
        </w:rPr>
        <w:t>ề</w:t>
      </w:r>
      <w:r>
        <w:rPr>
          <w:rtl w:val="0"/>
          <w:lang w:val="fr-FR"/>
        </w:rPr>
        <w:t>u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trong m</w:t>
      </w:r>
      <w:r>
        <w:rPr>
          <w:rtl w:val="0"/>
        </w:rPr>
        <w:t>ộ</w:t>
      </w:r>
      <w:r>
        <w:rPr>
          <w:rtl w:val="0"/>
        </w:rPr>
        <w:t xml:space="preserve">t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  <w:lang w:val="pt-PT"/>
        </w:rPr>
        <w:t>n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nh,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da-DK"/>
        </w:rPr>
        <w:t>ng 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  <w:lang w:val="sv-SE"/>
        </w:rPr>
        <w:t>ch vi ph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m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pt-PT"/>
        </w:rPr>
        <w:t>nh l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5.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ti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</w:rPr>
        <w:t>u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o gi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t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  <w:lang w:val="de-DE"/>
        </w:rPr>
        <w:t xml:space="preserve">ch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nl-NL"/>
        </w:rPr>
        <w:t>p d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  <w:lang w:val="en-US"/>
        </w:rPr>
        <w:t>ng cho th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sv-SE"/>
        </w:rPr>
        <w:t>nh vi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it-IT"/>
        </w:rPr>
        <w:t>n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  <w:lang w:val="de-DE"/>
        </w:rPr>
        <w:t>i dung do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da-DK"/>
        </w:rPr>
        <w:t>ng,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en-US"/>
        </w:rPr>
        <w:t>n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sv-SE"/>
        </w:rPr>
        <w:t>ch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6. </w:t>
      </w:r>
      <w:r>
        <w:rPr>
          <w:i w:val="1"/>
          <w:iCs w:val="1"/>
          <w:rtl w:val="0"/>
          <w:lang w:val="da-DK"/>
        </w:rPr>
        <w:t xml:space="preserve">Tin </w:t>
      </w:r>
      <w:r>
        <w:rPr>
          <w:i w:val="1"/>
          <w:iCs w:val="1"/>
          <w:rtl w:val="0"/>
        </w:rPr>
        <w:t>đồ</w:t>
      </w:r>
      <w:r>
        <w:rPr>
          <w:i w:val="1"/>
          <w:iCs w:val="1"/>
          <w:rtl w:val="0"/>
        </w:rPr>
        <w:t>n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tin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it-IT"/>
        </w:rPr>
        <w:t>c, ch</w:t>
      </w:r>
      <w:r>
        <w:rPr>
          <w:rtl w:val="0"/>
        </w:rPr>
        <w:t>ư</w:t>
      </w:r>
      <w:r>
        <w:rPr>
          <w:rtl w:val="0"/>
          <w:lang w:val="fr-FR"/>
        </w:rPr>
        <w:t>a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  <w:lang w:val="pt-PT"/>
        </w:rPr>
        <w:t>m ch</w:t>
      </w:r>
      <w:r>
        <w:rPr>
          <w:rtl w:val="0"/>
        </w:rPr>
        <w:t>ứ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</w:rPr>
        <w:t>t tin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ch,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di</w:t>
      </w:r>
      <w:r>
        <w:rPr>
          <w:rtl w:val="0"/>
        </w:rPr>
        <w:t>ễ</w:t>
      </w:r>
      <w:r>
        <w:rPr>
          <w:rtl w:val="0"/>
          <w:lang w:val="it-IT"/>
        </w:rPr>
        <w:t>n ra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chuong_2" w:id="7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II</w:t>
      </w:r>
      <w:bookmarkEnd w:id="7"/>
    </w:p>
    <w:p>
      <w:pPr>
        <w:pStyle w:val="Normal.0"/>
        <w:spacing w:before="120" w:after="100"/>
        <w:jc w:val="center"/>
      </w:pPr>
      <w:bookmarkStart w:name="chuong_2_name" w:id="8"/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C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de-DE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8"/>
    </w:p>
    <w:p>
      <w:pPr>
        <w:pStyle w:val="Normal.0"/>
        <w:spacing w:before="120" w:after="100"/>
      </w:pPr>
      <w:bookmarkStart w:name="muc_1" w:id="9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1.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de-DE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 xml:space="preserve">A 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Y BAN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N NH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</w:t>
      </w:r>
      <w:bookmarkEnd w:id="9"/>
    </w:p>
    <w:p>
      <w:pPr>
        <w:pStyle w:val="Normal.0"/>
        <w:spacing w:before="120" w:after="100"/>
      </w:pPr>
      <w:bookmarkStart w:name="dieu_4" w:id="1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es-ES_tradnl"/>
        </w:rPr>
        <w:t>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en-US"/>
        </w:rPr>
        <w:t>y ban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n Nh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</w:t>
      </w:r>
      <w:bookmarkEnd w:id="10"/>
    </w:p>
    <w:p>
      <w:pPr>
        <w:pStyle w:val="Normal.0"/>
        <w:spacing w:before="120" w:after="100"/>
      </w:pPr>
      <w:r>
        <w:rPr>
          <w:rtl w:val="0"/>
          <w:lang w:val="it-IT"/>
        </w:rPr>
        <w:t>1.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pt-PT"/>
        </w:rPr>
        <w:t>n nh</w:t>
      </w:r>
      <w:r>
        <w:rPr>
          <w:rtl w:val="0"/>
        </w:rPr>
        <w:t>ằ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</w:rPr>
        <w:t>n, ng</w:t>
      </w:r>
      <w:r>
        <w:rPr>
          <w:rtl w:val="0"/>
        </w:rPr>
        <w:t>ă</w:t>
      </w:r>
      <w:r>
        <w:rPr>
          <w:rtl w:val="0"/>
        </w:rPr>
        <w:t>n ng</w:t>
      </w:r>
      <w:r>
        <w:rPr>
          <w:rtl w:val="0"/>
        </w:rPr>
        <w:t>ừ</w:t>
      </w:r>
      <w:r>
        <w:rPr>
          <w:rtl w:val="0"/>
          <w:lang w:val="da-DK"/>
        </w:rPr>
        <w:t>a,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th</w:t>
      </w:r>
      <w:r>
        <w:rPr>
          <w:rtl w:val="0"/>
        </w:rPr>
        <w:t>ô</w:t>
      </w:r>
      <w:r>
        <w:rPr>
          <w:rtl w:val="0"/>
        </w:rPr>
        <w:t>ng tin n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trong mua b</w:t>
      </w:r>
      <w:r>
        <w:rPr>
          <w:rtl w:val="0"/>
        </w:rPr>
        <w:t>á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thao t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o, gi</w:t>
      </w:r>
      <w:r>
        <w:rPr>
          <w:rtl w:val="0"/>
        </w:rPr>
        <w:t>ả</w:t>
      </w:r>
      <w:r>
        <w:rPr>
          <w:rtl w:val="0"/>
          <w:lang w:val="it-IT"/>
        </w:rPr>
        <w:t>i tr</w:t>
      </w:r>
      <w:r>
        <w:rPr>
          <w:rtl w:val="0"/>
          <w:lang w:val="it-IT"/>
        </w:rPr>
        <w:t>ì</w:t>
      </w:r>
      <w:r>
        <w:rPr>
          <w:rtl w:val="0"/>
        </w:rPr>
        <w:t>nh,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  <w:lang w:val="fr-FR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it-IT"/>
        </w:rPr>
        <w:t>3.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pt-PT"/>
        </w:rPr>
        <w:t>t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  <w:lang w:val="en-US"/>
        </w:rPr>
        <w:t>trong vi</w:t>
      </w:r>
      <w:r>
        <w:rPr>
          <w:rtl w:val="0"/>
        </w:rPr>
        <w:t>ệ</w:t>
      </w:r>
      <w:r>
        <w:rPr>
          <w:rtl w:val="0"/>
        </w:rPr>
        <w:t>c 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rtl w:val="0"/>
        </w:rPr>
        <w:t>Đư</w:t>
      </w:r>
      <w:r>
        <w:rPr>
          <w:rtl w:val="0"/>
          <w:lang w:val="it-IT"/>
        </w:rPr>
        <w:t>a ra c</w:t>
      </w:r>
      <w:r>
        <w:rPr>
          <w:rtl w:val="0"/>
        </w:rPr>
        <w:t>ả</w:t>
      </w:r>
      <w:r>
        <w:rPr>
          <w:rtl w:val="0"/>
          <w:lang w:val="pt-PT"/>
        </w:rPr>
        <w:t>nh b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pt-PT"/>
        </w:rPr>
        <w:t>t nh</w:t>
      </w:r>
      <w:r>
        <w:rPr>
          <w:rtl w:val="0"/>
        </w:rPr>
        <w:t>ằ</w:t>
      </w:r>
      <w:r>
        <w:rPr>
          <w:rtl w:val="0"/>
        </w:rPr>
        <w:t>m ng</w:t>
      </w:r>
      <w:r>
        <w:rPr>
          <w:rtl w:val="0"/>
        </w:rPr>
        <w:t>ă</w:t>
      </w:r>
      <w:r>
        <w:rPr>
          <w:rtl w:val="0"/>
        </w:rPr>
        <w:t>n ng</w:t>
      </w:r>
      <w:r>
        <w:rPr>
          <w:rtl w:val="0"/>
        </w:rPr>
        <w:t>ừ</w:t>
      </w:r>
      <w:r>
        <w:rPr>
          <w:rtl w:val="0"/>
        </w:rPr>
        <w:t>a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it-IT"/>
        </w:rPr>
        <w:t>t trong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5. Ph</w:t>
      </w:r>
      <w:r>
        <w:rPr>
          <w:rtl w:val="0"/>
          <w:lang w:val="pt-PT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</w:rPr>
        <w:t>t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it-IT"/>
        </w:rPr>
        <w:t>n,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cho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do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</w:rPr>
        <w:t>ng; Ph</w:t>
      </w:r>
      <w:r>
        <w:rPr>
          <w:rtl w:val="0"/>
          <w:lang w:val="pt-PT"/>
        </w:rPr>
        <w:t xml:space="preserve">ê </w:t>
      </w:r>
      <w:r>
        <w:rPr>
          <w:rtl w:val="0"/>
        </w:rPr>
        <w:t>duy</w:t>
      </w:r>
      <w:r>
        <w:rPr>
          <w:rtl w:val="0"/>
        </w:rPr>
        <w:t>ệ</w:t>
      </w:r>
      <w:r>
        <w:rPr>
          <w:rtl w:val="0"/>
          <w:lang w:val="da-DK"/>
        </w:rPr>
        <w:t>t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 xml:space="preserve">ế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cho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ph</w:t>
      </w:r>
      <w:r>
        <w:rPr>
          <w:rtl w:val="0"/>
        </w:rPr>
        <w:t>á</w:t>
      </w:r>
      <w:r>
        <w:rPr>
          <w:rtl w:val="0"/>
          <w:lang w:val="de-DE"/>
        </w:rPr>
        <w:t>i sinh; ph</w:t>
      </w:r>
      <w:r>
        <w:rPr>
          <w:rtl w:val="0"/>
        </w:rPr>
        <w:t>ươ</w:t>
      </w:r>
      <w:r>
        <w:rPr>
          <w:rtl w:val="0"/>
          <w:lang w:val="en-US"/>
        </w:rPr>
        <w:t>ng ph</w:t>
      </w:r>
      <w:r>
        <w:rPr>
          <w:rtl w:val="0"/>
        </w:rPr>
        <w:t>á</w:t>
      </w:r>
      <w:r>
        <w:rPr>
          <w:rtl w:val="0"/>
          <w:lang w:val="nl-NL"/>
        </w:rPr>
        <w:t>p m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  <w:lang w:val="en-US"/>
        </w:rPr>
        <w:t>nh to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u,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ầ</w:t>
      </w:r>
      <w:r>
        <w:rPr>
          <w:rtl w:val="0"/>
          <w:lang w:val="es-ES_tradnl"/>
        </w:rPr>
        <w:t>n su</w:t>
      </w:r>
      <w:r>
        <w:rPr>
          <w:rtl w:val="0"/>
        </w:rPr>
        <w:t>ấ</w:t>
      </w:r>
      <w:r>
        <w:rPr>
          <w:rtl w:val="0"/>
          <w:lang w:val="da-DK"/>
        </w:rPr>
        <w:t>t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nl-NL"/>
        </w:rPr>
        <w:t>p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  <w:lang w:val="en-US"/>
        </w:rPr>
        <w:t>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pt-PT"/>
        </w:rPr>
        <w:t>u do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6. Ban h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it-IT"/>
        </w:rPr>
        <w:t>n gi</w:t>
      </w:r>
      <w:r>
        <w:rPr>
          <w:rtl w:val="0"/>
        </w:rPr>
        <w:t>ữ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7.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trong vi</w:t>
      </w:r>
      <w:r>
        <w:rPr>
          <w:rtl w:val="0"/>
        </w:rPr>
        <w:t>ệ</w:t>
      </w:r>
      <w:r>
        <w:rPr>
          <w:rtl w:val="0"/>
          <w:lang w:val="en-US"/>
        </w:rPr>
        <w:t>c thanh tra, ki</w:t>
      </w:r>
      <w:r>
        <w:rPr>
          <w:rtl w:val="0"/>
        </w:rPr>
        <w:t>ể</w:t>
      </w:r>
      <w:r>
        <w:rPr>
          <w:rtl w:val="0"/>
          <w:lang w:val="it-IT"/>
        </w:rPr>
        <w:t>m tra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>8.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pt-PT"/>
        </w:rPr>
        <w:t xml:space="preserve">nh,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5" w:id="1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de-DE"/>
        </w:rPr>
        <w:t>i dung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fr-FR"/>
        </w:rPr>
        <w:t>t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en-US"/>
        </w:rPr>
        <w:t>y ban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n Nh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</w:t>
      </w:r>
      <w:bookmarkEnd w:id="11"/>
    </w:p>
    <w:p>
      <w:pPr>
        <w:pStyle w:val="Normal.0"/>
        <w:spacing w:before="120" w:after="100"/>
      </w:pP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>ch,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Nam,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</w:rPr>
        <w:t xml:space="preserve">c,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  <w:lang w:val="it-IT"/>
        </w:rPr>
        <w:t>ch, l</w:t>
      </w:r>
      <w:r>
        <w:rPr>
          <w:rtl w:val="0"/>
          <w:lang w:val="fr-FR"/>
        </w:rPr>
        <w:t>à</w:t>
      </w:r>
      <w:r>
        <w:rPr>
          <w:rtl w:val="0"/>
        </w:rPr>
        <w:t>m r</w:t>
      </w:r>
      <w:r>
        <w:rPr>
          <w:rtl w:val="0"/>
          <w:lang w:val="pt-PT"/>
        </w:rPr>
        <w:t xml:space="preserve">õ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giao d</w:t>
      </w:r>
      <w:r>
        <w:rPr>
          <w:rtl w:val="0"/>
        </w:rPr>
        <w:t>ị</w:t>
      </w:r>
      <w:r>
        <w:rPr>
          <w:rtl w:val="0"/>
          <w:lang w:val="it-IT"/>
        </w:rPr>
        <w:t>ch nghi v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ng</w:t>
      </w:r>
      <w:r>
        <w:rPr>
          <w:rtl w:val="0"/>
        </w:rPr>
        <w:t>ă</w:t>
      </w:r>
      <w:r>
        <w:rPr>
          <w:rtl w:val="0"/>
          <w:lang w:val="it-IT"/>
        </w:rPr>
        <w:t>n ch</w:t>
      </w:r>
      <w:r>
        <w:rPr>
          <w:rtl w:val="0"/>
        </w:rPr>
        <w:t>ặ</w:t>
      </w:r>
      <w:r>
        <w:rPr>
          <w:rtl w:val="0"/>
          <w:lang w:val="da-DK"/>
        </w:rPr>
        <w:t>n,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  <w:lang w:val="it-IT"/>
        </w:rPr>
        <w:t>2.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trong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khu v</w:t>
      </w:r>
      <w:r>
        <w:rPr>
          <w:rtl w:val="0"/>
        </w:rPr>
        <w:t>ự</w:t>
      </w:r>
      <w:r>
        <w:rPr>
          <w:rtl w:val="0"/>
          <w:lang w:val="en-US"/>
        </w:rPr>
        <w:t>c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giao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>ý</w:t>
      </w:r>
      <w:r>
        <w:rPr>
          <w:rtl w:val="0"/>
        </w:rPr>
        <w:t>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>c 2 Ch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  <w:lang w:val="it-IT"/>
        </w:rPr>
        <w:t>3.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trong vi</w:t>
      </w:r>
      <w:r>
        <w:rPr>
          <w:rtl w:val="0"/>
        </w:rPr>
        <w:t>ệ</w:t>
      </w:r>
      <w:r>
        <w:rPr>
          <w:rtl w:val="0"/>
          <w:lang w:val="fr-FR"/>
        </w:rPr>
        <w:t>c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 xml:space="preserve">ế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pt-PT"/>
        </w:rPr>
        <w:t>i sinh,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nl-NL"/>
        </w:rPr>
        <w:t>p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en-US"/>
        </w:rPr>
        <w:t xml:space="preserve">u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ụ</w:t>
      </w:r>
      <w:r>
        <w:rPr>
          <w:rtl w:val="0"/>
        </w:rPr>
        <w:t>c 3 Ch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>ch,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l</w:t>
      </w:r>
      <w:r>
        <w:rPr>
          <w:rtl w:val="0"/>
          <w:lang w:val="fr-FR"/>
        </w:rPr>
        <w:t>à</w:t>
      </w:r>
      <w:r>
        <w:rPr>
          <w:rtl w:val="0"/>
        </w:rPr>
        <w:t>m r</w:t>
      </w:r>
      <w:r>
        <w:rPr>
          <w:rtl w:val="0"/>
          <w:lang w:val="pt-PT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s-ES_tradnl"/>
        </w:rPr>
        <w:t>o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  <w:lang w:val="de-DE"/>
        </w:rPr>
        <w:t>ch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t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  <w:lang w:val="it-IT"/>
        </w:rPr>
        <w:t>5.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fr-FR"/>
        </w:rPr>
        <w:t xml:space="preserve">m b, c, d, </w:t>
      </w:r>
      <w:r>
        <w:rPr>
          <w:rtl w:val="0"/>
        </w:rPr>
        <w:t>đ</w:t>
      </w:r>
      <w:r>
        <w:rPr>
          <w:rtl w:val="0"/>
          <w:lang w:val="en-US"/>
        </w:rPr>
        <w:t>, g, h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2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6" w:id="1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6.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en-US"/>
        </w:rPr>
        <w:t>y ban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n Nh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</w:t>
      </w:r>
      <w:bookmarkEnd w:id="12"/>
    </w:p>
    <w:p>
      <w:pPr>
        <w:pStyle w:val="Normal.0"/>
        <w:spacing w:before="120" w:after="100"/>
      </w:pPr>
      <w:r>
        <w:rPr>
          <w:rtl w:val="0"/>
          <w:lang w:val="it-IT"/>
        </w:rPr>
        <w:t>1.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d</w:t>
      </w:r>
      <w:r>
        <w:rPr>
          <w:rtl w:val="0"/>
        </w:rPr>
        <w:t>ự</w:t>
      </w:r>
      <w:r>
        <w:rPr>
          <w:rtl w:val="0"/>
        </w:rPr>
        <w:t>a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>ng tin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  <w:lang w:val="de-DE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>ch,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o, th</w:t>
      </w:r>
      <w:r>
        <w:rPr>
          <w:rtl w:val="0"/>
        </w:rPr>
        <w:t>ô</w:t>
      </w:r>
      <w:r>
        <w:rPr>
          <w:rtl w:val="0"/>
          <w:lang w:val="en-US"/>
        </w:rPr>
        <w:t>ng tin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tham gia giao d</w:t>
      </w:r>
      <w:r>
        <w:rPr>
          <w:rtl w:val="0"/>
        </w:rPr>
        <w:t>ị</w:t>
      </w:r>
      <w:r>
        <w:rPr>
          <w:rtl w:val="0"/>
          <w:lang w:val="sv-SE"/>
        </w:rPr>
        <w:t>ch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tin 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ú</w:t>
      </w:r>
      <w:r>
        <w:rPr>
          <w:rtl w:val="0"/>
          <w:lang w:val="da-DK"/>
        </w:rPr>
        <w:t xml:space="preserve">ng, tin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s-ES_tradnl"/>
        </w:rPr>
        <w:t>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o, th</w:t>
      </w:r>
      <w:r>
        <w:rPr>
          <w:rtl w:val="0"/>
        </w:rPr>
        <w:t>ô</w:t>
      </w:r>
      <w:r>
        <w:rPr>
          <w:rtl w:val="0"/>
        </w:rPr>
        <w:t>ng tin n</w:t>
      </w:r>
      <w:r>
        <w:rPr>
          <w:rtl w:val="0"/>
          <w:lang w:val="fr-FR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y,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it-IT"/>
        </w:rPr>
        <w:t>u giao d</w:t>
      </w:r>
      <w:r>
        <w:rPr>
          <w:rtl w:val="0"/>
        </w:rPr>
        <w:t>ị</w:t>
      </w:r>
      <w:r>
        <w:rPr>
          <w:rtl w:val="0"/>
        </w:rPr>
        <w:t>ch do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ty con,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cung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  <w:lang w:val="it-IT"/>
        </w:rPr>
        <w:t>ch, l</w:t>
      </w:r>
      <w:r>
        <w:rPr>
          <w:rtl w:val="0"/>
          <w:lang w:val="fr-FR"/>
        </w:rPr>
        <w:t>à</w:t>
      </w:r>
      <w:r>
        <w:rPr>
          <w:rtl w:val="0"/>
        </w:rPr>
        <w:t>m r</w:t>
      </w:r>
      <w:r>
        <w:rPr>
          <w:rtl w:val="0"/>
          <w:lang w:val="pt-PT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Ki</w:t>
      </w:r>
      <w:r>
        <w:rPr>
          <w:rtl w:val="0"/>
        </w:rPr>
        <w:t>ể</w:t>
      </w:r>
      <w:r>
        <w:rPr>
          <w:rtl w:val="0"/>
          <w:lang w:val="it-IT"/>
        </w:rPr>
        <w:t>m tra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</w:t>
      </w:r>
      <w:r>
        <w:rPr>
          <w:rtl w:val="0"/>
        </w:rPr>
        <w:t>ô</w:t>
      </w:r>
      <w:r>
        <w:rPr>
          <w:rtl w:val="0"/>
          <w:lang w:val="pt-PT"/>
        </w:rPr>
        <w:t>ng qua vi</w:t>
      </w:r>
      <w:r>
        <w:rPr>
          <w:rtl w:val="0"/>
        </w:rPr>
        <w:t>ệ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it-IT"/>
        </w:rPr>
        <w:t>ch nghi v</w:t>
      </w:r>
      <w:r>
        <w:rPr>
          <w:rtl w:val="0"/>
        </w:rPr>
        <w:t>ấ</w:t>
      </w:r>
      <w:r>
        <w:rPr>
          <w:rtl w:val="0"/>
          <w:lang w:val="en-US"/>
        </w:rPr>
        <w:t>n theo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ty con,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>ch,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tham gia giao d</w:t>
      </w:r>
      <w:r>
        <w:rPr>
          <w:rtl w:val="0"/>
        </w:rPr>
        <w:t>ị</w:t>
      </w:r>
      <w:r>
        <w:rPr>
          <w:rtl w:val="0"/>
        </w:rPr>
        <w:t>ch, cung c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  <w:lang w:val="fr-FR"/>
        </w:rPr>
        <w:t>c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muc_2" w:id="13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2.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de-DE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pt-PT"/>
        </w:rPr>
        <w:t>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de-DE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NAM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s-ES_tradnl"/>
        </w:rPr>
        <w:t>NG TY CON</w:t>
      </w:r>
      <w:bookmarkEnd w:id="13"/>
    </w:p>
    <w:p>
      <w:pPr>
        <w:pStyle w:val="Normal.0"/>
        <w:spacing w:before="120" w:after="100"/>
      </w:pPr>
      <w:bookmarkStart w:name="dieu_7" w:id="1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7.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de-DE"/>
        </w:rPr>
        <w:t>n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pt-PT"/>
        </w:rPr>
        <w:t>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ty con</w:t>
      </w:r>
      <w:bookmarkEnd w:id="14"/>
    </w:p>
    <w:p>
      <w:pPr>
        <w:pStyle w:val="Normal.0"/>
        <w:spacing w:before="120" w:after="100"/>
      </w:pPr>
      <w:r>
        <w:rPr>
          <w:rtl w:val="0"/>
          <w:lang w:val="it-IT"/>
        </w:rPr>
        <w:t>1.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</w:t>
      </w:r>
    </w:p>
    <w:p>
      <w:pPr>
        <w:pStyle w:val="Normal.0"/>
        <w:spacing w:before="120" w:after="100"/>
      </w:pPr>
      <w:r>
        <w:rPr>
          <w:rtl w:val="0"/>
        </w:rPr>
        <w:t>a) Ban h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nh Quy ch</w:t>
      </w:r>
      <w:r>
        <w:rPr>
          <w:rtl w:val="0"/>
        </w:rPr>
        <w:t xml:space="preserve">ế </w:t>
      </w:r>
      <w:r>
        <w:rPr>
          <w:rtl w:val="0"/>
          <w:lang w:val="it-IT"/>
        </w:rPr>
        <w:t>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sau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</w:rPr>
        <w:t>n;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quy tr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  <w:lang w:val="pt-PT"/>
        </w:rPr>
        <w:t>u qu</w:t>
      </w:r>
      <w:r>
        <w:rPr>
          <w:rtl w:val="0"/>
        </w:rPr>
        <w:t>ả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de-DE"/>
        </w:rPr>
        <w:t>t chung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Ban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cho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d)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  <w:lang w:val="it-IT"/>
        </w:rPr>
        <w:t>2.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ty con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  <w:lang w:val="nl-NL"/>
        </w:rPr>
        <w:t>p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</w:rPr>
        <w:t>ng khu v</w:t>
      </w:r>
      <w:r>
        <w:rPr>
          <w:rtl w:val="0"/>
        </w:rPr>
        <w:t>ự</w:t>
      </w:r>
      <w:r>
        <w:rPr>
          <w:rtl w:val="0"/>
          <w:lang w:val="en-US"/>
        </w:rPr>
        <w:t>c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giao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>ý</w:t>
      </w:r>
      <w:r>
        <w:rPr>
          <w:rtl w:val="0"/>
        </w:rPr>
        <w:t>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fr-FR"/>
        </w:rPr>
        <w:t>u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11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c)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de-DE"/>
        </w:rPr>
        <w:t>t di</w:t>
      </w:r>
      <w:r>
        <w:rPr>
          <w:rtl w:val="0"/>
        </w:rPr>
        <w:t>ễ</w:t>
      </w:r>
      <w:r>
        <w:rPr>
          <w:rtl w:val="0"/>
        </w:rPr>
        <w:t>n bi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en-US"/>
        </w:rPr>
        <w:t>ch trong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  <w:lang w:val="fr-FR"/>
        </w:rPr>
        <w:t>à</w:t>
      </w:r>
      <w:r>
        <w:rPr>
          <w:rtl w:val="0"/>
        </w:rPr>
        <w:t xml:space="preserve">y,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>ỳ</w:t>
      </w:r>
      <w:r>
        <w:rPr>
          <w:rtl w:val="0"/>
        </w:rPr>
        <w:t>;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  <w:lang w:val="de-DE"/>
        </w:rPr>
        <w:t xml:space="preserve">ch,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it-IT"/>
        </w:rPr>
        <w:t>ch nghi v</w:t>
      </w:r>
      <w:r>
        <w:rPr>
          <w:rtl w:val="0"/>
        </w:rPr>
        <w:t>ấ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da-DK"/>
        </w:rPr>
        <w:t>ng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R</w:t>
      </w:r>
      <w:r>
        <w:rPr>
          <w:rtl w:val="0"/>
          <w:lang w:val="fr-FR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ú</w:t>
      </w:r>
      <w:r>
        <w:rPr>
          <w:rtl w:val="0"/>
          <w:lang w:val="da-DK"/>
        </w:rPr>
        <w:t xml:space="preserve">ng, tin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s-ES_tradnl"/>
        </w:rPr>
        <w:t>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  <w:lang w:val="fr-FR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ch, c</w:t>
      </w:r>
      <w:r>
        <w:rPr>
          <w:rtl w:val="0"/>
        </w:rPr>
        <w:t>ô</w:t>
      </w:r>
      <w:r>
        <w:rPr>
          <w:rtl w:val="0"/>
          <w:lang w:val="en-US"/>
        </w:rPr>
        <w:t>ng ty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s-ES_tradnl"/>
        </w:rPr>
        <w:t>n,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ô</w:t>
      </w:r>
      <w:r>
        <w:rPr>
          <w:rtl w:val="0"/>
          <w:lang w:val="sv-SE"/>
        </w:rPr>
        <w:t xml:space="preserve">ng ty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pt-PT"/>
        </w:rPr>
        <w:t>n,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e)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s-ES_tradnl"/>
        </w:rPr>
        <w:t>theo quy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sv-SE"/>
        </w:rPr>
        <w:t>ch vi ph</w:t>
      </w:r>
      <w:r>
        <w:rPr>
          <w:rtl w:val="0"/>
        </w:rPr>
        <w:t>ạ</w:t>
      </w:r>
      <w:r>
        <w:rPr>
          <w:rtl w:val="0"/>
          <w:lang w:val="es-ES_tradnl"/>
        </w:rPr>
        <w:t>m quy ch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n,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>ị 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tr</w:t>
      </w:r>
      <w:r>
        <w:rPr>
          <w:rtl w:val="0"/>
          <w:lang w:val="fr-FR"/>
        </w:rPr>
        <w:t>ê</w:t>
      </w:r>
      <w:r>
        <w:rPr>
          <w:rtl w:val="0"/>
        </w:rPr>
        <w:t>n,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ty con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b)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s-ES_tradnl"/>
        </w:rPr>
        <w:t>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it-IT"/>
        </w:rPr>
        <w:t>n gi</w:t>
      </w:r>
      <w:r>
        <w:rPr>
          <w:rtl w:val="0"/>
        </w:rPr>
        <w:t>ả</w:t>
      </w:r>
      <w:r>
        <w:rPr>
          <w:rtl w:val="0"/>
          <w:lang w:val="it-IT"/>
        </w:rPr>
        <w:t>i tr</w:t>
      </w:r>
      <w:r>
        <w:rPr>
          <w:rtl w:val="0"/>
          <w:lang w:val="it-IT"/>
        </w:rPr>
        <w:t>ì</w:t>
      </w:r>
      <w:r>
        <w:rPr>
          <w:rtl w:val="0"/>
        </w:rPr>
        <w:t>nh,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  <w:lang w:val="fr-FR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  <w:lang w:val="fr-FR"/>
        </w:rPr>
        <w:t>u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>ỳ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13,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14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15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  <w:lang w:val="it-IT"/>
        </w:rPr>
        <w:t>m tra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da-DK"/>
        </w:rPr>
        <w:t>ng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  <w:lang w:val="en-US"/>
        </w:rPr>
        <w:t>, thanh to</w:t>
      </w:r>
      <w:r>
        <w:rPr>
          <w:rtl w:val="0"/>
        </w:rPr>
        <w:t>á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an to</w:t>
      </w:r>
      <w:r>
        <w:rPr>
          <w:rtl w:val="0"/>
          <w:lang w:val="fr-FR"/>
        </w:rPr>
        <w:t>à</w:t>
      </w:r>
      <w:r>
        <w:rPr>
          <w:rtl w:val="0"/>
          <w:lang w:val="da-DK"/>
        </w:rPr>
        <w:t>n, hi</w:t>
      </w:r>
      <w:r>
        <w:rPr>
          <w:rtl w:val="0"/>
        </w:rPr>
        <w:t>ệ</w:t>
      </w:r>
      <w:r>
        <w:rPr>
          <w:rtl w:val="0"/>
          <w:lang w:val="pt-PT"/>
        </w:rPr>
        <w:t>u qu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8" w:id="1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8.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de-DE"/>
        </w:rPr>
        <w:t>i dung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5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pt-PT"/>
        </w:rPr>
        <w:t>t nh</w:t>
      </w:r>
      <w:r>
        <w:rPr>
          <w:rtl w:val="0"/>
        </w:rPr>
        <w:t>ằ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ng, giao d</w:t>
      </w:r>
      <w:r>
        <w:rPr>
          <w:rtl w:val="0"/>
        </w:rPr>
        <w:t>ị</w:t>
      </w:r>
      <w:r>
        <w:rPr>
          <w:rtl w:val="0"/>
          <w:lang w:val="it-IT"/>
        </w:rPr>
        <w:t>ch nghi v</w:t>
      </w:r>
      <w:r>
        <w:rPr>
          <w:rtl w:val="0"/>
        </w:rPr>
        <w:t>ấ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da-DK"/>
        </w:rPr>
        <w:t>ng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n,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th</w:t>
      </w:r>
      <w:r>
        <w:rPr>
          <w:rtl w:val="0"/>
        </w:rPr>
        <w:t>ô</w:t>
      </w:r>
      <w:r>
        <w:rPr>
          <w:rtl w:val="0"/>
        </w:rPr>
        <w:t>ng tin n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trong mua b</w:t>
      </w:r>
      <w:r>
        <w:rPr>
          <w:rtl w:val="0"/>
        </w:rPr>
        <w:t>á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thao t</w:t>
      </w:r>
      <w:r>
        <w:rPr>
          <w:rtl w:val="0"/>
        </w:rPr>
        <w:t>ú</w:t>
      </w:r>
      <w:r>
        <w:rPr>
          <w:rtl w:val="0"/>
          <w:lang w:val="en-US"/>
        </w:rPr>
        <w:t>ng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it-IT"/>
        </w:rPr>
        <w:t>2.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ch,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ch, c</w:t>
      </w:r>
      <w:r>
        <w:rPr>
          <w:rtl w:val="0"/>
        </w:rPr>
        <w:t>ô</w:t>
      </w:r>
      <w:r>
        <w:rPr>
          <w:rtl w:val="0"/>
          <w:lang w:val="en-US"/>
        </w:rPr>
        <w:t>ng ty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s-ES_tradnl"/>
        </w:rPr>
        <w:t>n,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ô</w:t>
      </w:r>
      <w:r>
        <w:rPr>
          <w:rtl w:val="0"/>
          <w:lang w:val="sv-SE"/>
        </w:rPr>
        <w:t xml:space="preserve">ng ty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  <w:lang w:val="en-US"/>
        </w:rPr>
        <w:t>ng l</w:t>
      </w:r>
      <w:r>
        <w:rPr>
          <w:rtl w:val="0"/>
        </w:rPr>
        <w:t>ớ</w:t>
      </w:r>
      <w:r>
        <w:rPr>
          <w:rtl w:val="0"/>
          <w:lang w:val="pt-PT"/>
        </w:rPr>
        <w:t>n, nh</w:t>
      </w:r>
      <w:r>
        <w:rPr>
          <w:rtl w:val="0"/>
          <w:lang w:val="es-ES_tradnl"/>
        </w:rPr>
        <w:t>ó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5%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 xml:space="preserve">ổ </w:t>
      </w:r>
      <w:r>
        <w:rPr>
          <w:rtl w:val="0"/>
          <w:lang w:val="fr-FR"/>
        </w:rPr>
        <w:t>phi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quy</w:t>
      </w:r>
      <w:r>
        <w:rPr>
          <w:rtl w:val="0"/>
        </w:rPr>
        <w:t>ề</w:t>
      </w:r>
      <w:r>
        <w:rPr>
          <w:rtl w:val="0"/>
        </w:rPr>
        <w:t>n bi</w:t>
      </w:r>
      <w:r>
        <w:rPr>
          <w:rtl w:val="0"/>
        </w:rPr>
        <w:t>ể</w:t>
      </w:r>
      <w:r>
        <w:rPr>
          <w:rtl w:val="0"/>
          <w:lang w:val="pt-PT"/>
        </w:rPr>
        <w:t>u quy</w:t>
      </w:r>
      <w:r>
        <w:rPr>
          <w:rtl w:val="0"/>
        </w:rPr>
        <w:t>ế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sv-SE"/>
        </w:rPr>
        <w:t xml:space="preserve">ng ty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ú</w:t>
      </w:r>
      <w:r>
        <w:rPr>
          <w:rtl w:val="0"/>
          <w:lang w:val="en-US"/>
        </w:rPr>
        <w:t>ng, c</w:t>
      </w:r>
      <w:r>
        <w:rPr>
          <w:rtl w:val="0"/>
        </w:rPr>
        <w:t>ô</w:t>
      </w:r>
      <w:r>
        <w:rPr>
          <w:rtl w:val="0"/>
          <w:lang w:val="sv-SE"/>
        </w:rPr>
        <w:t xml:space="preserve">ng ty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ú</w:t>
      </w:r>
      <w:r>
        <w:rPr>
          <w:rtl w:val="0"/>
        </w:rPr>
        <w:t>ng;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  <w:lang w:val="pt-PT"/>
        </w:rPr>
        <w:t>, nh</w:t>
      </w:r>
      <w:r>
        <w:rPr>
          <w:rtl w:val="0"/>
          <w:lang w:val="es-ES_tradnl"/>
        </w:rPr>
        <w:t>ó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5%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en-US"/>
        </w:rPr>
        <w:t>ng ch</w:t>
      </w:r>
      <w:r>
        <w:rPr>
          <w:rtl w:val="0"/>
        </w:rPr>
        <w:t xml:space="preserve">ỉ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s-ES_tradnl"/>
        </w:rPr>
        <w:t>a qu</w:t>
      </w:r>
      <w:r>
        <w:rPr>
          <w:rtl w:val="0"/>
        </w:rPr>
        <w:t xml:space="preserve">ỹ </w:t>
      </w:r>
      <w:r>
        <w:rPr>
          <w:rtl w:val="0"/>
        </w:rPr>
        <w:t>đó</w:t>
      </w:r>
      <w:r>
        <w:rPr>
          <w:rtl w:val="0"/>
        </w:rPr>
        <w:t>ng; nh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m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5%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 xml:space="preserve">ổ </w:t>
      </w:r>
      <w:r>
        <w:rPr>
          <w:rtl w:val="0"/>
          <w:lang w:val="fr-FR"/>
        </w:rPr>
        <w:t>phi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quy</w:t>
      </w:r>
      <w:r>
        <w:rPr>
          <w:rtl w:val="0"/>
        </w:rPr>
        <w:t>ề</w:t>
      </w:r>
      <w:r>
        <w:rPr>
          <w:rtl w:val="0"/>
        </w:rPr>
        <w:t>n bi</w:t>
      </w:r>
      <w:r>
        <w:rPr>
          <w:rtl w:val="0"/>
        </w:rPr>
        <w:t>ể</w:t>
      </w:r>
      <w:r>
        <w:rPr>
          <w:rtl w:val="0"/>
          <w:lang w:val="pt-PT"/>
        </w:rPr>
        <w:t>u quy</w:t>
      </w:r>
      <w:r>
        <w:rPr>
          <w:rtl w:val="0"/>
        </w:rPr>
        <w:t>ế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  <w:lang w:val="en-US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5%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en-US"/>
        </w:rPr>
        <w:t>ng ch</w:t>
      </w:r>
      <w:r>
        <w:rPr>
          <w:rtl w:val="0"/>
        </w:rPr>
        <w:t xml:space="preserve">ỉ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s-ES_tradnl"/>
        </w:rPr>
        <w:t>a qu</w:t>
      </w:r>
      <w:r>
        <w:rPr>
          <w:rtl w:val="0"/>
        </w:rPr>
        <w:t xml:space="preserve">ỹ </w:t>
      </w:r>
      <w:r>
        <w:rPr>
          <w:rtl w:val="0"/>
        </w:rPr>
        <w:t>đó</w:t>
      </w:r>
      <w:r>
        <w:rPr>
          <w:rtl w:val="0"/>
          <w:lang w:val="da-DK"/>
        </w:rPr>
        <w:t>ng,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s-ES_tradnl"/>
        </w:rPr>
        <w:t>a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  <w:lang w:val="nl-NL"/>
        </w:rPr>
        <w:t>ng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  <w:lang w:val="fr-FR"/>
        </w:rPr>
        <w:t>t d</w:t>
      </w:r>
      <w:r>
        <w:rPr>
          <w:rtl w:val="0"/>
        </w:rPr>
        <w:t>ạ</w:t>
      </w:r>
      <w:r>
        <w:rPr>
          <w:rtl w:val="0"/>
          <w:lang w:val="en-US"/>
        </w:rPr>
        <w:t xml:space="preserve">ng </w:t>
      </w:r>
      <w:r>
        <w:rPr>
          <w:rtl w:val="0"/>
        </w:rPr>
        <w:t>đó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  <w:lang w:val="es-ES_tradnl"/>
        </w:rPr>
        <w:t>y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  <w:lang w:val="en-US"/>
        </w:rPr>
        <w:t xml:space="preserve">theo </w:t>
      </w:r>
      <w:r>
        <w:rPr>
          <w:rtl w:val="0"/>
        </w:rPr>
        <w:t>đú</w:t>
      </w:r>
      <w:r>
        <w:rPr>
          <w:rtl w:val="0"/>
          <w:lang w:val="en-US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  <w:lang w:val="it-IT"/>
        </w:rPr>
        <w:t>3.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mua l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ổ </w:t>
      </w:r>
      <w:r>
        <w:rPr>
          <w:rtl w:val="0"/>
          <w:lang w:val="fr-FR"/>
        </w:rPr>
        <w:t>phi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  <w:lang w:val="it-IT"/>
        </w:rPr>
        <w:t>a ch</w:t>
      </w:r>
      <w:r>
        <w:rPr>
          <w:rtl w:val="0"/>
        </w:rPr>
        <w:t>í</w:t>
      </w:r>
      <w:r>
        <w:rPr>
          <w:rtl w:val="0"/>
          <w:lang w:val="pt-PT"/>
        </w:rPr>
        <w:t>nh m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nh,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  <w:lang w:val="fr-FR"/>
        </w:rPr>
        <w:t>à</w:t>
      </w:r>
      <w:r>
        <w:rPr>
          <w:rtl w:val="0"/>
        </w:rPr>
        <w:t>o mua c</w:t>
      </w:r>
      <w:r>
        <w:rPr>
          <w:rtl w:val="0"/>
        </w:rPr>
        <w:t>ô</w:t>
      </w:r>
      <w:r>
        <w:rPr>
          <w:rtl w:val="0"/>
        </w:rPr>
        <w:t>ng khai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de-DE"/>
        </w:rPr>
        <w:t>ch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9" w:id="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9. Ti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u ch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6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en-US"/>
        </w:rPr>
        <w:t>c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 xml:space="preserve">t,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Nam,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li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(t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pt-PT"/>
        </w:rPr>
        <w:t>ng qua l</w:t>
      </w:r>
      <w:r>
        <w:rPr>
          <w:rtl w:val="0"/>
        </w:rPr>
        <w:t>ạ</w:t>
      </w:r>
      <w:r>
        <w:rPr>
          <w:rtl w:val="0"/>
          <w:lang w:val="it-IT"/>
        </w:rPr>
        <w:t>i gi</w:t>
      </w:r>
      <w:r>
        <w:rPr>
          <w:rtl w:val="0"/>
        </w:rPr>
        <w:t>ữ</w:t>
      </w:r>
      <w:r>
        <w:rPr>
          <w:rtl w:val="0"/>
          <w:lang w:val="en-US"/>
        </w:rPr>
        <w:t>a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de-DE"/>
        </w:rPr>
        <w:t>i sinh 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ạ</w:t>
      </w:r>
      <w:r>
        <w:rPr>
          <w:rtl w:val="0"/>
        </w:rPr>
        <w:t>i; gi</w:t>
      </w:r>
      <w:r>
        <w:rPr>
          <w:rtl w:val="0"/>
        </w:rPr>
        <w:t>ữ</w:t>
      </w:r>
      <w:r>
        <w:rPr>
          <w:rtl w:val="0"/>
        </w:rPr>
        <w:t>a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en-US"/>
        </w:rPr>
        <w:t>ng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ạ</w:t>
      </w:r>
      <w:r>
        <w:rPr>
          <w:rtl w:val="0"/>
        </w:rPr>
        <w:t xml:space="preserve">i)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m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en-US"/>
        </w:rPr>
        <w:t>ch trong ng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  <w:lang w:val="fr-FR"/>
        </w:rPr>
        <w:t>à</w:t>
      </w:r>
      <w:r>
        <w:rPr>
          <w:rtl w:val="0"/>
        </w:rPr>
        <w:t>y; ban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cho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g</w:t>
      </w:r>
      <w:r>
        <w:rPr>
          <w:rtl w:val="0"/>
        </w:rPr>
        <w:t>ồ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  <w:lang w:val="de-DE"/>
        </w:rPr>
        <w:t>i dung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tham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>ể</w:t>
      </w:r>
      <w:r>
        <w:rPr>
          <w:rtl w:val="0"/>
        </w:rPr>
        <w:t>;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cho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r</w:t>
      </w:r>
      <w:r>
        <w:rPr>
          <w:rtl w:val="0"/>
          <w:lang w:val="fr-FR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>á 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>ỳ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10" w:id="1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10.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7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</w:t>
      </w:r>
      <w:r>
        <w:rPr>
          <w:rtl w:val="0"/>
        </w:rPr>
        <w:t>ô</w:t>
      </w:r>
      <w:r>
        <w:rPr>
          <w:rtl w:val="0"/>
          <w:lang w:val="pt-PT"/>
        </w:rPr>
        <w:t>ng qua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theo th</w:t>
      </w:r>
      <w:r>
        <w:rPr>
          <w:rtl w:val="0"/>
        </w:rPr>
        <w:t>ờ</w:t>
      </w:r>
      <w:r>
        <w:rPr>
          <w:rtl w:val="0"/>
          <w:lang w:val="it-IT"/>
        </w:rPr>
        <w:t>i gian th</w:t>
      </w:r>
      <w:r>
        <w:rPr>
          <w:rtl w:val="0"/>
        </w:rPr>
        <w:t>ự</w:t>
      </w:r>
      <w:r>
        <w:rPr>
          <w:rtl w:val="0"/>
        </w:rPr>
        <w:t>c tr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en-US"/>
        </w:rPr>
        <w:t>ch trong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ủ</w:t>
      </w:r>
      <w:r>
        <w:rPr>
          <w:rtl w:val="0"/>
          <w:lang w:val="it-IT"/>
        </w:rPr>
        <w:t>a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  <w:lang w:val="fr-FR"/>
        </w:rPr>
        <w:t>t,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it-IT"/>
        </w:rPr>
        <w:t>ch nghi v</w:t>
      </w:r>
      <w:r>
        <w:rPr>
          <w:rtl w:val="0"/>
        </w:rPr>
        <w:t>ấ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pt-PT"/>
        </w:rPr>
        <w:t>n 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</w:rPr>
        <w:t>a tr</w:t>
      </w:r>
      <w:r>
        <w:rPr>
          <w:rtl w:val="0"/>
          <w:lang w:val="fr-FR"/>
        </w:rPr>
        <w:t>ê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sau: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it-IT"/>
        </w:rPr>
        <w:t>u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o,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en-US"/>
        </w:rPr>
        <w:t>nh th</w:t>
      </w:r>
      <w:r>
        <w:rPr>
          <w:rtl w:val="0"/>
        </w:rPr>
        <w:t>ô</w:t>
      </w:r>
      <w:r>
        <w:rPr>
          <w:rtl w:val="0"/>
          <w:lang w:val="en-US"/>
        </w:rPr>
        <w:t>ng tin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de-DE"/>
        </w:rPr>
        <w:t>ch,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 xml:space="preserve">t Nam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19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tin 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ú</w:t>
      </w:r>
      <w:r>
        <w:rPr>
          <w:rtl w:val="0"/>
          <w:lang w:val="da-DK"/>
        </w:rPr>
        <w:t xml:space="preserve">ng, tin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s-ES_tradnl"/>
        </w:rPr>
        <w:t>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s-ES_tradnl"/>
        </w:rPr>
        <w:t>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  <w:lang w:val="it-IT"/>
        </w:rPr>
        <w:t>i tr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</w:rPr>
        <w:t>m r</w:t>
      </w:r>
      <w:r>
        <w:rPr>
          <w:rtl w:val="0"/>
          <w:lang w:val="pt-PT"/>
        </w:rPr>
        <w:t xml:space="preserve">õ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11" w:id="1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11.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ữ 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u ph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c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18"/>
    </w:p>
    <w:p>
      <w:pPr>
        <w:pStyle w:val="Normal.0"/>
        <w:spacing w:before="120" w:after="100"/>
      </w:pP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fr-FR"/>
        </w:rPr>
        <w:t>u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t</w:t>
      </w:r>
      <w:r>
        <w:rPr>
          <w:rtl w:val="0"/>
        </w:rPr>
        <w:t>ố</w:t>
      </w:r>
      <w:r>
        <w:rPr>
          <w:rtl w:val="0"/>
          <w:lang w:val="en-US"/>
        </w:rPr>
        <w:t>i thi</w:t>
      </w:r>
      <w:r>
        <w:rPr>
          <w:rtl w:val="0"/>
        </w:rPr>
        <w:t>ể</w:t>
      </w:r>
      <w:r>
        <w:rPr>
          <w:rtl w:val="0"/>
          <w:lang w:val="fr-FR"/>
        </w:rPr>
        <w:t>u ph</w:t>
      </w:r>
      <w:r>
        <w:rPr>
          <w:rtl w:val="0"/>
        </w:rPr>
        <w:t>ả</w:t>
      </w:r>
      <w:r>
        <w:rPr>
          <w:rtl w:val="0"/>
          <w:lang w:val="it-IT"/>
        </w:rPr>
        <w:t>i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sau:</w:t>
      </w:r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  <w:lang w:val="fr-FR"/>
        </w:rPr>
        <w:t>c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pt-PT"/>
        </w:rPr>
        <w:t>2. Danh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thu</w:t>
      </w:r>
      <w:r>
        <w:rPr>
          <w:rtl w:val="0"/>
        </w:rPr>
        <w:t>ộ</w:t>
      </w:r>
      <w:r>
        <w:rPr>
          <w:rtl w:val="0"/>
          <w:lang w:val="en-US"/>
        </w:rPr>
        <w:t>c ph</w:t>
      </w:r>
      <w:r>
        <w:rPr>
          <w:rtl w:val="0"/>
        </w:rPr>
        <w:t>ạ</w:t>
      </w:r>
      <w:r>
        <w:rPr>
          <w:rtl w:val="0"/>
          <w:lang w:val="sv-SE"/>
        </w:rPr>
        <w:t>m vi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sv-SE"/>
        </w:rPr>
        <w:t>n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s-ES_tradnl"/>
        </w:rPr>
        <w:t>n, 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  <w:lang w:val="pt-PT"/>
        </w:rPr>
        <w:t xml:space="preserve">đã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it-IT"/>
        </w:rPr>
        <w:t>qua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tin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o,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  <w:lang w:val="pt-PT"/>
        </w:rPr>
        <w:t xml:space="preserve">đã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4.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5.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  <w:lang w:val="fr-FR"/>
        </w:rPr>
        <w:t>c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2" w:id="1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12.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sv-SE"/>
        </w:rPr>
        <w:t>nh vi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it-IT"/>
        </w:rPr>
        <w:t>n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</w:t>
      </w:r>
      <w:bookmarkEnd w:id="19"/>
    </w:p>
    <w:p>
      <w:pPr>
        <w:pStyle w:val="Normal.0"/>
        <w:spacing w:before="120" w:after="100"/>
      </w:pPr>
      <w:r>
        <w:rPr>
          <w:rtl w:val="0"/>
        </w:rPr>
        <w:t>1.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en-US"/>
        </w:rPr>
        <w:t>u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o, gi</w:t>
      </w:r>
      <w:r>
        <w:rPr>
          <w:rtl w:val="0"/>
        </w:rPr>
        <w:t>ả</w:t>
      </w:r>
      <w:r>
        <w:rPr>
          <w:rtl w:val="0"/>
          <w:lang w:val="it-IT"/>
        </w:rPr>
        <w:t>i tr</w:t>
      </w:r>
      <w:r>
        <w:rPr>
          <w:rtl w:val="0"/>
          <w:lang w:val="it-IT"/>
        </w:rPr>
        <w:t>ì</w:t>
      </w:r>
      <w:r>
        <w:rPr>
          <w:rtl w:val="0"/>
        </w:rPr>
        <w:t>nh,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 t</w:t>
      </w:r>
      <w:r>
        <w:rPr>
          <w:rtl w:val="0"/>
          <w:lang w:val="fr-FR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en-US"/>
        </w:rPr>
        <w:t>ch t</w:t>
      </w:r>
      <w:r>
        <w:rPr>
          <w:rtl w:val="0"/>
        </w:rPr>
        <w:t>ạ</w:t>
      </w:r>
      <w:r>
        <w:rPr>
          <w:rtl w:val="0"/>
        </w:rPr>
        <w:t>i khu v</w:t>
      </w:r>
      <w:r>
        <w:rPr>
          <w:rtl w:val="0"/>
        </w:rPr>
        <w:t>ự</w:t>
      </w:r>
      <w:r>
        <w:rPr>
          <w:rtl w:val="0"/>
          <w:lang w:val="en-US"/>
        </w:rPr>
        <w:t>c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giao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>ý</w:t>
      </w:r>
      <w:r>
        <w:rPr>
          <w:rtl w:val="0"/>
        </w:rPr>
        <w:t>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de-DE"/>
        </w:rPr>
        <w:t>n 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</w:rPr>
        <w:t>m,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>ị 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n-US"/>
        </w:rPr>
        <w:t>theo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</w:rPr>
        <w:t>à đ</w:t>
      </w:r>
      <w:r>
        <w:rPr>
          <w:rtl w:val="0"/>
        </w:rPr>
        <w:t>ồ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de-DE"/>
        </w:rPr>
        <w:t>n 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  <w:lang w:val="en-US"/>
        </w:rPr>
        <w:t>m th</w:t>
      </w:r>
      <w:r>
        <w:rPr>
          <w:rtl w:val="0"/>
          <w:lang w:val="it-IT"/>
        </w:rPr>
        <w:t xml:space="preserve">ì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n-US"/>
        </w:rPr>
        <w:t>theo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>ị 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en-US"/>
        </w:rPr>
        <w:t>ch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t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3" w:id="2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13.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k</w:t>
      </w:r>
      <w:r>
        <w:rPr>
          <w:b w:val="1"/>
          <w:bCs w:val="1"/>
          <w:rtl w:val="0"/>
        </w:rPr>
        <w:t>ỳ</w:t>
      </w:r>
      <w:bookmarkEnd w:id="20"/>
    </w:p>
    <w:p>
      <w:pPr>
        <w:pStyle w:val="Normal.0"/>
        <w:spacing w:before="120" w:after="100"/>
      </w:pPr>
      <w:r>
        <w:rPr>
          <w:rtl w:val="0"/>
        </w:rPr>
        <w:t>1. Trong v</w:t>
      </w:r>
      <w:r>
        <w:rPr>
          <w:rtl w:val="0"/>
          <w:lang w:val="it-IT"/>
        </w:rPr>
        <w:t>ò</w:t>
      </w:r>
      <w:r>
        <w:rPr>
          <w:rtl w:val="0"/>
        </w:rPr>
        <w:t>ng 02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it-IT"/>
        </w:rPr>
        <w:t>a tu</w:t>
      </w:r>
      <w:r>
        <w:rPr>
          <w:rtl w:val="0"/>
        </w:rPr>
        <w:t>ầ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  <w:lang w:val="en-US"/>
        </w:rPr>
        <w:t>p theo,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en-US"/>
        </w:rPr>
        <w:t>ch tu</w:t>
      </w:r>
      <w:r>
        <w:rPr>
          <w:rtl w:val="0"/>
        </w:rPr>
        <w:t>ầ</w:t>
      </w:r>
      <w:r>
        <w:rPr>
          <w:rtl w:val="0"/>
          <w:lang w:val="de-DE"/>
        </w:rPr>
        <w:t>n,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it-IT"/>
        </w:rPr>
        <w:t>u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g</w:t>
      </w:r>
      <w:r>
        <w:rPr>
          <w:rtl w:val="0"/>
        </w:rPr>
        <w:t>ồ</w:t>
      </w:r>
      <w:r>
        <w:rPr>
          <w:rtl w:val="0"/>
          <w:lang w:val="it-IT"/>
        </w:rPr>
        <w:t>m: s</w:t>
      </w:r>
      <w:r>
        <w:rPr>
          <w:rtl w:val="0"/>
        </w:rPr>
        <w:t xml:space="preserve">ổ </w:t>
      </w:r>
      <w:r>
        <w:rPr>
          <w:rtl w:val="0"/>
        </w:rPr>
        <w:t>l</w:t>
      </w:r>
      <w:r>
        <w:rPr>
          <w:rtl w:val="0"/>
        </w:rPr>
        <w:t>ệ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  <w:lang w:val="de-DE"/>
        </w:rPr>
        <w:t>t, s</w:t>
      </w:r>
      <w:r>
        <w:rPr>
          <w:rtl w:val="0"/>
        </w:rPr>
        <w:t xml:space="preserve">ổ </w:t>
      </w:r>
      <w:r>
        <w:rPr>
          <w:rtl w:val="0"/>
        </w:rPr>
        <w:t>l</w:t>
      </w:r>
      <w:r>
        <w:rPr>
          <w:rtl w:val="0"/>
        </w:rPr>
        <w:t>ệ</w:t>
      </w:r>
      <w:r>
        <w:rPr>
          <w:rtl w:val="0"/>
          <w:lang w:val="de-DE"/>
        </w:rPr>
        <w:t>nh kh</w:t>
      </w:r>
      <w:r>
        <w:rPr>
          <w:rtl w:val="0"/>
        </w:rPr>
        <w:t>ớ</w:t>
      </w:r>
      <w:r>
        <w:rPr>
          <w:rtl w:val="0"/>
          <w:lang w:val="da-DK"/>
        </w:rPr>
        <w:t>p, s</w:t>
      </w:r>
      <w:r>
        <w:rPr>
          <w:rtl w:val="0"/>
        </w:rPr>
        <w:t xml:space="preserve">ổ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  <w:lang w:val="it-IT"/>
        </w:rPr>
        <w:t>,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de-DE"/>
        </w:rPr>
        <w:t>i sinh v</w:t>
      </w:r>
      <w:r>
        <w:rPr>
          <w:rtl w:val="0"/>
          <w:lang w:val="fr-FR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  <w:lang w:val="it-IT"/>
        </w:rPr>
        <w:t>ang giao d</w:t>
      </w:r>
      <w:r>
        <w:rPr>
          <w:rtl w:val="0"/>
        </w:rPr>
        <w:t>ị</w:t>
      </w:r>
      <w:r>
        <w:rPr>
          <w:rtl w:val="0"/>
          <w:lang w:val="sv-SE"/>
        </w:rPr>
        <w:t>ch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trong tu</w:t>
      </w:r>
      <w:r>
        <w:rPr>
          <w:rtl w:val="0"/>
        </w:rPr>
        <w:t>ầ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theo th</w:t>
      </w:r>
      <w:r>
        <w:rPr>
          <w:rtl w:val="0"/>
        </w:rPr>
        <w:t>ự</w:t>
      </w:r>
      <w:r>
        <w:rPr>
          <w:rtl w:val="0"/>
        </w:rPr>
        <w:t>c tr</w:t>
      </w:r>
      <w:r>
        <w:rPr>
          <w:rtl w:val="0"/>
        </w:rPr>
        <w:t>ạ</w:t>
      </w:r>
      <w:r>
        <w:rPr>
          <w:rtl w:val="0"/>
          <w:lang w:val="en-US"/>
        </w:rPr>
        <w:t>ng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  <w:lang w:val="it-IT"/>
        </w:rPr>
        <w:t>ng tin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to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pt-PT"/>
        </w:rPr>
        <w:t>c giao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>ý</w:t>
      </w:r>
      <w:r>
        <w:rPr>
          <w:rtl w:val="0"/>
        </w:rPr>
        <w:t>,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it-IT"/>
        </w:rPr>
        <w:t>n, ngo</w:t>
      </w:r>
      <w:r>
        <w:rPr>
          <w:rtl w:val="0"/>
        </w:rPr>
        <w:t>ạ</w:t>
      </w:r>
      <w:r>
        <w:rPr>
          <w:rtl w:val="0"/>
          <w:lang w:val="it-IT"/>
        </w:rPr>
        <w:t>i tr</w:t>
      </w:r>
      <w:r>
        <w:rPr>
          <w:rtl w:val="0"/>
        </w:rPr>
        <w:t xml:space="preserve">ừ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m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  <w:lang w:val="en-US"/>
        </w:rPr>
        <w:t>ng lo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</w:rPr>
        <w:t>i sinh (OI);</w:t>
      </w:r>
    </w:p>
    <w:p>
      <w:pPr>
        <w:pStyle w:val="Normal.0"/>
        <w:spacing w:before="120" w:after="100"/>
      </w:pPr>
      <w:r>
        <w:rPr>
          <w:rtl w:val="0"/>
        </w:rPr>
        <w:t>b)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tu</w:t>
      </w:r>
      <w:r>
        <w:rPr>
          <w:rtl w:val="0"/>
        </w:rPr>
        <w:t>ầ</w:t>
      </w:r>
      <w:r>
        <w:rPr>
          <w:rtl w:val="0"/>
          <w:lang w:val="en-US"/>
        </w:rPr>
        <w:t>n, th</w:t>
      </w:r>
      <w:r>
        <w:rPr>
          <w:rtl w:val="0"/>
        </w:rPr>
        <w:t>ô</w:t>
      </w:r>
      <w:r>
        <w:rPr>
          <w:rtl w:val="0"/>
          <w:lang w:val="da-DK"/>
        </w:rPr>
        <w:t>ng tin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</w:t>
      </w:r>
      <w:r>
        <w:rPr>
          <w:rtl w:val="0"/>
        </w:rPr>
        <w:t xml:space="preserve">ỷ </w:t>
      </w:r>
      <w:r>
        <w:rPr>
          <w:rtl w:val="0"/>
        </w:rPr>
        <w:t>tr</w:t>
      </w:r>
      <w:r>
        <w:rPr>
          <w:rtl w:val="0"/>
        </w:rPr>
        <w:t>ọ</w:t>
      </w:r>
      <w:r>
        <w:rPr>
          <w:rtl w:val="0"/>
          <w:lang w:val="en-US"/>
        </w:rPr>
        <w:t>ng c</w:t>
      </w:r>
      <w:r>
        <w:rPr>
          <w:rtl w:val="0"/>
        </w:rPr>
        <w:t xml:space="preserve">ổ </w:t>
      </w:r>
      <w:r>
        <w:rPr>
          <w:rtl w:val="0"/>
          <w:lang w:val="fr-FR"/>
        </w:rPr>
        <w:t>phi</w:t>
      </w:r>
      <w:r>
        <w:rPr>
          <w:rtl w:val="0"/>
        </w:rPr>
        <w:t>ế</w:t>
      </w:r>
      <w:r>
        <w:rPr>
          <w:rtl w:val="0"/>
          <w:lang w:val="en-US"/>
        </w:rPr>
        <w:t>u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>ầ</w:t>
      </w:r>
      <w:r>
        <w:rPr>
          <w:rtl w:val="0"/>
          <w:lang w:val="en-US"/>
        </w:rPr>
        <w:t>n trong r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en-US"/>
        </w:rPr>
        <w:t>nh 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ổ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 xml:space="preserve">p,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di</w:t>
      </w:r>
      <w:r>
        <w:rPr>
          <w:rtl w:val="0"/>
        </w:rPr>
        <w:t>ễ</w:t>
      </w:r>
      <w:r>
        <w:rPr>
          <w:rtl w:val="0"/>
        </w:rPr>
        <w:t>n bi</w:t>
      </w:r>
      <w:r>
        <w:rPr>
          <w:rtl w:val="0"/>
        </w:rPr>
        <w:t>ế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theo </w:t>
      </w:r>
      <w:bookmarkStart w:name="bieumau_ms_01_pl_01" w:id="21"/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01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  <w:lang w:val="fr-FR"/>
        </w:rPr>
        <w:t>c I</w:t>
      </w:r>
      <w:bookmarkEnd w:id="21"/>
      <w:r>
        <w:rPr>
          <w:rtl w:val="0"/>
        </w:rPr>
        <w:t xml:space="preserve">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Trong v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>ng 10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>á</w:t>
      </w:r>
      <w:r>
        <w:rPr>
          <w:rtl w:val="0"/>
          <w:lang w:val="en-US"/>
        </w:rPr>
        <w:t>ng ti</w:t>
      </w:r>
      <w:r>
        <w:rPr>
          <w:rtl w:val="0"/>
        </w:rPr>
        <w:t>ế</w:t>
      </w:r>
      <w:r>
        <w:rPr>
          <w:rtl w:val="0"/>
          <w:lang w:val="en-US"/>
        </w:rPr>
        <w:t>p theo, 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en-US"/>
        </w:rPr>
        <w:t>ng ty con,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en-US"/>
        </w:rPr>
        <w:t>ch th</w:t>
      </w:r>
      <w:r>
        <w:rPr>
          <w:rtl w:val="0"/>
        </w:rPr>
        <w:t>á</w:t>
      </w:r>
      <w:r>
        <w:rPr>
          <w:rtl w:val="0"/>
          <w:lang w:val="en-US"/>
        </w:rPr>
        <w:t xml:space="preserve">ng theo </w:t>
      </w:r>
      <w:bookmarkStart w:name="bieumau_ms_02_pl_01" w:id="22"/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02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  <w:lang w:val="fr-FR"/>
        </w:rPr>
        <w:t>c I</w:t>
      </w:r>
      <w:bookmarkEnd w:id="22"/>
      <w:r>
        <w:rPr>
          <w:rtl w:val="0"/>
        </w:rPr>
        <w:t xml:space="preserve">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y,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ch</w:t>
      </w:r>
      <w:r>
        <w:rPr>
          <w:rtl w:val="0"/>
        </w:rPr>
        <w:t>í</w:t>
      </w:r>
      <w:r>
        <w:rPr>
          <w:rtl w:val="0"/>
        </w:rPr>
        <w:t>nh sau:</w:t>
      </w:r>
    </w:p>
    <w:p>
      <w:pPr>
        <w:pStyle w:val="Normal.0"/>
        <w:spacing w:before="120" w:after="100"/>
      </w:pPr>
      <w:r>
        <w:rPr>
          <w:rtl w:val="0"/>
        </w:rPr>
        <w:t>-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da-DK"/>
        </w:rPr>
        <w:t>ng,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trong 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>ụ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-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 xml:space="preserve">ng ty con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-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vi ph</w:t>
      </w:r>
      <w:r>
        <w:rPr>
          <w:rtl w:val="0"/>
        </w:rPr>
        <w:t>ạ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-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en-US"/>
        </w:rPr>
        <w:t>u trong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</w:rPr>
        <w:t>o;</w:t>
      </w:r>
    </w:p>
    <w:p>
      <w:pPr>
        <w:pStyle w:val="Normal.0"/>
        <w:spacing w:before="120" w:after="100"/>
      </w:pPr>
      <w:r>
        <w:rPr>
          <w:rtl w:val="0"/>
        </w:rPr>
        <w:t>-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 xml:space="preserve">ị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rtl w:val="0"/>
        </w:rPr>
        <w:t>3. Trong v</w:t>
      </w:r>
      <w:r>
        <w:rPr>
          <w:rtl w:val="0"/>
          <w:lang w:val="it-IT"/>
        </w:rPr>
        <w:t>ò</w:t>
      </w:r>
      <w:r>
        <w:rPr>
          <w:rtl w:val="0"/>
        </w:rPr>
        <w:t>ng 20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k</w:t>
      </w:r>
      <w:r>
        <w:rPr>
          <w:rtl w:val="0"/>
        </w:rPr>
        <w:t xml:space="preserve">ế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p, 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ô</w:t>
      </w:r>
      <w:r>
        <w:rPr>
          <w:rtl w:val="0"/>
          <w:lang w:val="en-US"/>
        </w:rPr>
        <w:t>ng ty con,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n</w:t>
      </w:r>
      <w:r>
        <w:rPr>
          <w:rtl w:val="0"/>
        </w:rPr>
        <w:t>ă</w:t>
      </w:r>
      <w:r>
        <w:rPr>
          <w:rtl w:val="0"/>
          <w:lang w:val="en-US"/>
        </w:rPr>
        <w:t xml:space="preserve">m theo </w:t>
      </w:r>
      <w:bookmarkStart w:name="bieumau_ms_03_pl_01" w:id="23"/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03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  <w:lang w:val="fr-FR"/>
        </w:rPr>
        <w:t>c I</w:t>
      </w:r>
      <w:bookmarkEnd w:id="23"/>
      <w:r>
        <w:rPr>
          <w:rtl w:val="0"/>
        </w:rPr>
        <w:t xml:space="preserve">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y,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>u sau:</w:t>
      </w:r>
    </w:p>
    <w:p>
      <w:pPr>
        <w:pStyle w:val="Normal.0"/>
        <w:spacing w:before="120" w:after="100"/>
      </w:pPr>
      <w:r>
        <w:rPr>
          <w:rtl w:val="0"/>
        </w:rPr>
        <w:t>-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da-DK"/>
        </w:rPr>
        <w:t>ng,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trong 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>ụ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-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 xml:space="preserve">ng ty con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-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vi ph</w:t>
      </w:r>
      <w:r>
        <w:rPr>
          <w:rtl w:val="0"/>
        </w:rPr>
        <w:t>ạ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ch;</w:t>
      </w:r>
    </w:p>
    <w:p>
      <w:pPr>
        <w:pStyle w:val="Normal.0"/>
        <w:spacing w:before="120" w:after="100"/>
      </w:pPr>
      <w:r>
        <w:rPr>
          <w:rtl w:val="0"/>
        </w:rPr>
        <w:t>-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en-US"/>
        </w:rPr>
        <w:t>u trong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s-ES_tradnl"/>
        </w:rPr>
        <w:t xml:space="preserve">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1, 2,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nl-NL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ệ</w:t>
      </w:r>
      <w:r>
        <w:rPr>
          <w:rtl w:val="0"/>
          <w:lang w:val="nl-NL"/>
        </w:rPr>
        <w:t>p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. Ri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s-ES_tradnl"/>
        </w:rPr>
        <w:t xml:space="preserve">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ầ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  <w:lang w:val="it-IT"/>
        </w:rPr>
        <w:t>i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i d</w:t>
      </w:r>
      <w:r>
        <w:rPr>
          <w:rtl w:val="0"/>
        </w:rPr>
        <w:t>ạ</w:t>
      </w:r>
      <w:r>
        <w:rPr>
          <w:rtl w:val="0"/>
          <w:lang w:val="en-US"/>
        </w:rPr>
        <w:t>ng t</w:t>
      </w:r>
      <w:r>
        <w:rPr>
          <w:rtl w:val="0"/>
        </w:rPr>
        <w:t>ệ</w:t>
      </w:r>
      <w:r>
        <w:rPr>
          <w:rtl w:val="0"/>
          <w:lang w:val="nl-NL"/>
        </w:rPr>
        <w:t>p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tr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g</w:t>
      </w:r>
      <w:r>
        <w:rPr>
          <w:rtl w:val="0"/>
        </w:rPr>
        <w:t>ử</w:t>
      </w:r>
      <w:r>
        <w:rPr>
          <w:rtl w:val="0"/>
          <w:lang w:val="it-IT"/>
        </w:rPr>
        <w:t>i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i d</w:t>
      </w:r>
      <w:r>
        <w:rPr>
          <w:rtl w:val="0"/>
        </w:rPr>
        <w:t>ạ</w:t>
      </w:r>
      <w:r>
        <w:rPr>
          <w:rtl w:val="0"/>
          <w:lang w:val="en-US"/>
        </w:rPr>
        <w:t>ng t</w:t>
      </w:r>
      <w:r>
        <w:rPr>
          <w:rtl w:val="0"/>
        </w:rPr>
        <w:t>ệ</w:t>
      </w:r>
      <w:r>
        <w:rPr>
          <w:rtl w:val="0"/>
          <w:lang w:val="nl-NL"/>
        </w:rPr>
        <w:t>p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  <w:lang w:val="en-US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 xml:space="preserve">ng ty con </w:t>
      </w:r>
      <w:r>
        <w:rPr>
          <w:rtl w:val="0"/>
        </w:rPr>
        <w:t>đ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ch</w:t>
      </w:r>
      <w:r>
        <w:rPr>
          <w:rtl w:val="0"/>
        </w:rPr>
        <w:t>ươ</w:t>
      </w:r>
      <w:r>
        <w:rPr>
          <w:rtl w:val="0"/>
          <w:lang w:val="en-US"/>
        </w:rPr>
        <w:t>ng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>ý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</w:rPr>
        <w:t>u gi</w:t>
      </w:r>
      <w:r>
        <w:rPr>
          <w:rtl w:val="0"/>
        </w:rPr>
        <w:t xml:space="preserve">ữ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  <w:lang w:val="pt-PT"/>
        </w:rPr>
        <w:t xml:space="preserve">đã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14" w:id="2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de-DE"/>
        </w:rPr>
        <w:t>ch b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t th</w:t>
      </w:r>
      <w:r>
        <w:rPr>
          <w:b w:val="1"/>
          <w:bCs w:val="1"/>
          <w:rtl w:val="0"/>
        </w:rPr>
        <w:t>ườ</w:t>
      </w:r>
      <w:r>
        <w:rPr>
          <w:b w:val="1"/>
          <w:bCs w:val="1"/>
          <w:rtl w:val="0"/>
        </w:rPr>
        <w:t>ng</w:t>
      </w:r>
      <w:bookmarkEnd w:id="24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ng khi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it-IT"/>
        </w:rPr>
        <w:t>ch nghi v</w:t>
      </w:r>
      <w:r>
        <w:rPr>
          <w:rtl w:val="0"/>
        </w:rPr>
        <w:t>ấ</w:t>
      </w:r>
      <w:r>
        <w:rPr>
          <w:rtl w:val="0"/>
          <w:lang w:val="nl-NL"/>
        </w:rPr>
        <w:t>n trong v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>ng hai m</w:t>
      </w:r>
      <w:r>
        <w:rPr>
          <w:rtl w:val="0"/>
        </w:rPr>
        <w:t>ươ</w:t>
      </w:r>
      <w:r>
        <w:rPr>
          <w:rtl w:val="0"/>
        </w:rPr>
        <w:t>i b</w:t>
      </w:r>
      <w:r>
        <w:rPr>
          <w:rtl w:val="0"/>
        </w:rPr>
        <w:t>ố</w:t>
      </w:r>
      <w:r>
        <w:rPr>
          <w:rtl w:val="0"/>
        </w:rPr>
        <w:t>n (24) gi</w:t>
      </w:r>
      <w:r>
        <w:rPr>
          <w:rtl w:val="0"/>
        </w:rPr>
        <w:t xml:space="preserve">ờ </w:t>
      </w:r>
      <w:r>
        <w:rPr>
          <w:rtl w:val="0"/>
        </w:rPr>
        <w:t>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  <w:lang w:val="it-IT"/>
        </w:rPr>
        <w:t>khi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  <w:lang w:val="it-IT"/>
        </w:rPr>
        <w:t>ch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ậ</w:t>
      </w:r>
      <w:r>
        <w:rPr>
          <w:rtl w:val="0"/>
          <w:lang w:val="nl-NL"/>
        </w:rPr>
        <w:t>p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ri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ng t</w:t>
      </w:r>
      <w:r>
        <w:rPr>
          <w:rtl w:val="0"/>
        </w:rPr>
        <w:t>ừ</w:t>
      </w:r>
      <w:r>
        <w:rPr>
          <w:rtl w:val="0"/>
          <w:lang w:val="nl-NL"/>
        </w:rPr>
        <w:t>ng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c, n</w:t>
      </w:r>
      <w:r>
        <w:rPr>
          <w:rtl w:val="0"/>
          <w:lang w:val="fr-FR"/>
        </w:rPr>
        <w:t>ê</w:t>
      </w:r>
      <w:r>
        <w:rPr>
          <w:rtl w:val="0"/>
        </w:rPr>
        <w:t>u r</w:t>
      </w:r>
      <w:r>
        <w:rPr>
          <w:rtl w:val="0"/>
          <w:lang w:val="pt-PT"/>
        </w:rPr>
        <w:t xml:space="preserve">õ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nghi v</w:t>
      </w:r>
      <w:r>
        <w:rPr>
          <w:rtl w:val="0"/>
        </w:rPr>
        <w:t>ấ</w:t>
      </w:r>
      <w:r>
        <w:rPr>
          <w:rtl w:val="0"/>
          <w:lang w:val="en-US"/>
        </w:rPr>
        <w:t>n,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  <w:lang w:val="en-US"/>
        </w:rPr>
        <w:t>ng tin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quan,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 xml:space="preserve">ề </w:t>
      </w:r>
      <w:r>
        <w:rPr>
          <w:rtl w:val="0"/>
          <w:lang w:val="en-US"/>
        </w:rPr>
        <w:t>xu</w:t>
      </w:r>
      <w:r>
        <w:rPr>
          <w:rtl w:val="0"/>
        </w:rPr>
        <w:t>ấ</w:t>
      </w:r>
      <w:r>
        <w:rPr>
          <w:rtl w:val="0"/>
          <w:lang w:val="en-US"/>
        </w:rPr>
        <w:t>t ph</w:t>
      </w:r>
      <w:r>
        <w:rPr>
          <w:rtl w:val="0"/>
        </w:rPr>
        <w:t>ươ</w:t>
      </w:r>
      <w:r>
        <w:rPr>
          <w:rtl w:val="0"/>
          <w:lang w:val="en-US"/>
        </w:rPr>
        <w:t xml:space="preserve">ng </w:t>
      </w:r>
      <w:r>
        <w:rPr>
          <w:rtl w:val="0"/>
        </w:rPr>
        <w:t>á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n-US"/>
        </w:rPr>
        <w:t>theo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n-US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t qu</w:t>
      </w:r>
      <w:r>
        <w:rPr>
          <w:rtl w:val="0"/>
        </w:rPr>
        <w:t xml:space="preserve">á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13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15" w:id="2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15.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en-US"/>
        </w:rPr>
        <w:t>ch theo y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</w:t>
      </w:r>
      <w:bookmarkEnd w:id="25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khi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g</w:t>
      </w:r>
      <w:r>
        <w:rPr>
          <w:rtl w:val="0"/>
        </w:rPr>
        <w:t>ử</w:t>
      </w:r>
      <w:r>
        <w:rPr>
          <w:rtl w:val="0"/>
        </w:rPr>
        <w:t xml:space="preserve">i cho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  <w:lang w:val="fr-FR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 xml:space="preserve">ể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  <w:lang w:val="de-DE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ệ</w:t>
      </w:r>
      <w:r>
        <w:rPr>
          <w:rtl w:val="0"/>
          <w:lang w:val="nl-NL"/>
        </w:rPr>
        <w:t>p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  <w:lang w:val="en-US"/>
        </w:rPr>
        <w:t>theo n</w:t>
      </w:r>
      <w:r>
        <w:rPr>
          <w:rtl w:val="0"/>
        </w:rPr>
        <w:t>ộ</w:t>
      </w:r>
      <w:r>
        <w:rPr>
          <w:rtl w:val="0"/>
          <w:lang w:val="de-DE"/>
        </w:rPr>
        <w:t>i dung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bookmarkStart w:name="muc_3" w:id="26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3.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T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s-ES_tradnl"/>
        </w:rPr>
        <w:t>NG TY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U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 xml:space="preserve">Ù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NAM</w:t>
      </w:r>
      <w:bookmarkEnd w:id="26"/>
    </w:p>
    <w:p>
      <w:pPr>
        <w:pStyle w:val="Normal.0"/>
        <w:spacing w:before="120" w:after="100"/>
      </w:pPr>
      <w:bookmarkStart w:name="dieu_16" w:id="2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16.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de-DE"/>
        </w:rPr>
        <w:t>n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  <w:lang w:val="da-DK"/>
        </w:rPr>
        <w:t>ng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ty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u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it-IT"/>
        </w:rPr>
        <w:t xml:space="preserve">ù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27"/>
    </w:p>
    <w:p>
      <w:pPr>
        <w:pStyle w:val="Normal.0"/>
        <w:spacing w:before="120" w:after="100"/>
      </w:pPr>
      <w:r>
        <w:rPr>
          <w:rtl w:val="0"/>
          <w:lang w:val="it-IT"/>
        </w:rPr>
        <w:t>1.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it-IT"/>
        </w:rPr>
        <w:t>n,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>ế</w:t>
      </w:r>
      <w:r>
        <w:rPr>
          <w:rtl w:val="0"/>
        </w:rPr>
        <w:t>,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de-DE"/>
        </w:rPr>
        <w:t>n 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  <w:lang w:val="en-US"/>
        </w:rPr>
        <w:t>, thanh to</w:t>
      </w:r>
      <w:r>
        <w:rPr>
          <w:rtl w:val="0"/>
        </w:rPr>
        <w:t>á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en-US"/>
        </w:rPr>
        <w:t>ch,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sv-SE"/>
        </w:rPr>
        <w:t>n 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>ế</w:t>
      </w:r>
      <w:r>
        <w:rPr>
          <w:rtl w:val="0"/>
        </w:rPr>
        <w:t>,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s-ES_tradnl"/>
        </w:rPr>
        <w:t>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o, gi</w:t>
      </w:r>
      <w:r>
        <w:rPr>
          <w:rtl w:val="0"/>
        </w:rPr>
        <w:t>ả</w:t>
      </w:r>
      <w:r>
        <w:rPr>
          <w:rtl w:val="0"/>
          <w:lang w:val="it-IT"/>
        </w:rPr>
        <w:t>i tr</w:t>
      </w:r>
      <w:r>
        <w:rPr>
          <w:rtl w:val="0"/>
          <w:lang w:val="it-IT"/>
        </w:rPr>
        <w:t>ì</w:t>
      </w:r>
      <w:r>
        <w:rPr>
          <w:rtl w:val="0"/>
        </w:rPr>
        <w:t>nh,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  <w:lang w:val="fr-FR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  <w:lang w:val="fr-FR"/>
        </w:rPr>
        <w:t>u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sv-SE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c,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 xml:space="preserve">ng ty con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en-US"/>
        </w:rPr>
        <w:t>p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L</w:t>
      </w:r>
      <w:r>
        <w:rPr>
          <w:rtl w:val="0"/>
        </w:rPr>
        <w:t>ư</w:t>
      </w:r>
      <w:r>
        <w:rPr>
          <w:rtl w:val="0"/>
          <w:lang w:val="fr-FR"/>
        </w:rPr>
        <w:t>u tr</w:t>
      </w:r>
      <w:r>
        <w:rPr>
          <w:rtl w:val="0"/>
        </w:rPr>
        <w:t xml:space="preserve">ữ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Nam, c</w:t>
      </w:r>
      <w:r>
        <w:rPr>
          <w:rtl w:val="0"/>
        </w:rPr>
        <w:t>á</w:t>
      </w:r>
      <w:r>
        <w:rPr>
          <w:rtl w:val="0"/>
          <w:lang w:val="it-IT"/>
        </w:rPr>
        <w:t>c 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>ế</w:t>
      </w:r>
      <w:r>
        <w:rPr>
          <w:rtl w:val="0"/>
        </w:rPr>
        <w:t>,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chia s</w:t>
      </w:r>
      <w:r>
        <w:rPr>
          <w:rtl w:val="0"/>
        </w:rPr>
        <w:t xml:space="preserve">ẻ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4.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en-US"/>
        </w:rPr>
        <w:t>ch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  <w:lang w:val="en-US"/>
        </w:rPr>
        <w:t>, thanh to</w:t>
      </w:r>
      <w:r>
        <w:rPr>
          <w:rtl w:val="0"/>
        </w:rPr>
        <w:t>á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an to</w:t>
      </w:r>
      <w:r>
        <w:rPr>
          <w:rtl w:val="0"/>
          <w:lang w:val="fr-FR"/>
        </w:rPr>
        <w:t>à</w:t>
      </w:r>
      <w:r>
        <w:rPr>
          <w:rtl w:val="0"/>
          <w:lang w:val="da-DK"/>
        </w:rPr>
        <w:t>n, hi</w:t>
      </w:r>
      <w:r>
        <w:rPr>
          <w:rtl w:val="0"/>
        </w:rPr>
        <w:t>ệ</w:t>
      </w:r>
      <w:r>
        <w:rPr>
          <w:rtl w:val="0"/>
          <w:lang w:val="pt-PT"/>
        </w:rPr>
        <w:t>u qu</w:t>
      </w:r>
      <w:r>
        <w:rPr>
          <w:rtl w:val="0"/>
        </w:rPr>
        <w:t xml:space="preserve">ả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5.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  <w:lang w:val="it-IT"/>
        </w:rPr>
        <w:t xml:space="preserve">m tra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thu</w:t>
      </w:r>
      <w:r>
        <w:rPr>
          <w:rtl w:val="0"/>
        </w:rPr>
        <w:t>ộ</w:t>
      </w:r>
      <w:r>
        <w:rPr>
          <w:rtl w:val="0"/>
          <w:lang w:val="en-US"/>
        </w:rPr>
        <w:t>c ph</w:t>
      </w:r>
      <w:r>
        <w:rPr>
          <w:rtl w:val="0"/>
        </w:rPr>
        <w:t>ạ</w:t>
      </w:r>
      <w:r>
        <w:rPr>
          <w:rtl w:val="0"/>
          <w:lang w:val="sv-SE"/>
        </w:rPr>
        <w:t>m vi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6.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n-US"/>
        </w:rPr>
        <w:t>theo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sv-SE"/>
        </w:rPr>
        <w:t>p vi ph</w:t>
      </w:r>
      <w:r>
        <w:rPr>
          <w:rtl w:val="0"/>
        </w:rPr>
        <w:t>ạ</w:t>
      </w:r>
      <w:r>
        <w:rPr>
          <w:rtl w:val="0"/>
          <w:lang w:val="en-US"/>
        </w:rPr>
        <w:t>m,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en-US"/>
        </w:rPr>
        <w:t>t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t qu</w:t>
      </w:r>
      <w:r>
        <w:rPr>
          <w:rtl w:val="0"/>
        </w:rPr>
        <w:t xml:space="preserve">á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7.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>ỳ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en-US"/>
        </w:rPr>
        <w:t xml:space="preserve">u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20,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21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22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17" w:id="2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17.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de-DE"/>
        </w:rPr>
        <w:t>i dung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fr-FR"/>
        </w:rPr>
        <w:t>t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ty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u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it-IT"/>
        </w:rPr>
        <w:t xml:space="preserve">ù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28"/>
    </w:p>
    <w:p>
      <w:pPr>
        <w:pStyle w:val="Normal.0"/>
        <w:spacing w:before="120" w:after="100"/>
      </w:pPr>
      <w:r>
        <w:rPr>
          <w:rtl w:val="0"/>
          <w:lang w:val="it-IT"/>
        </w:rPr>
        <w:t>1.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trong 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it-IT"/>
        </w:rPr>
        <w:t>2.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nl-NL"/>
        </w:rPr>
        <w:t>p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en-US"/>
        </w:rPr>
        <w:t>u theo t</w:t>
      </w:r>
      <w:r>
        <w:rPr>
          <w:rtl w:val="0"/>
        </w:rPr>
        <w:t>ừ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en-US"/>
        </w:rPr>
        <w:t>i sinh, theo t</w:t>
      </w:r>
      <w:r>
        <w:rPr>
          <w:rtl w:val="0"/>
        </w:rPr>
        <w:t>ừ</w:t>
      </w:r>
      <w:r>
        <w:rPr>
          <w:rtl w:val="0"/>
          <w:lang w:val="en-US"/>
        </w:rPr>
        <w:t>ng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  <w:lang w:val="it-IT"/>
        </w:rPr>
        <w:t>3.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  <w:lang w:val="en-US"/>
        </w:rPr>
        <w:t>khi tham gia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pt-PT"/>
        </w:rPr>
        <w:t>i sinh.</w:t>
      </w:r>
    </w:p>
    <w:p>
      <w:pPr>
        <w:pStyle w:val="Normal.0"/>
        <w:spacing w:before="120" w:after="100"/>
      </w:pPr>
      <w:bookmarkStart w:name="dieu_18" w:id="2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18.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t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ty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u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it-IT"/>
        </w:rPr>
        <w:t xml:space="preserve">ù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29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ban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>ế</w:t>
      </w:r>
      <w:r>
        <w:rPr>
          <w:rtl w:val="0"/>
          <w:lang w:val="en-US"/>
        </w:rPr>
        <w:t>,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da-DK"/>
        </w:rPr>
        <w:t>t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ừ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pt-PT"/>
        </w:rPr>
        <w:t>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  <w:lang w:val="es-ES_tradnl"/>
        </w:rPr>
        <w:t xml:space="preserve">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  <w:lang w:val="en-US"/>
        </w:rPr>
        <w:t>c th</w:t>
      </w:r>
      <w:r>
        <w:rPr>
          <w:rtl w:val="0"/>
        </w:rPr>
        <w:t>ờ</w:t>
      </w:r>
      <w:r>
        <w:rPr>
          <w:rtl w:val="0"/>
          <w:lang w:val="it-IT"/>
        </w:rPr>
        <w:t>i gian,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nl-NL"/>
        </w:rPr>
        <w:t>p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theo t</w:t>
      </w:r>
      <w:r>
        <w:rPr>
          <w:rtl w:val="0"/>
        </w:rPr>
        <w:t>ừ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  <w:lang w:val="it-IT"/>
        </w:rPr>
        <w:t>tham gia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es-ES_tradnl"/>
        </w:rPr>
        <w:t xml:space="preserve">i sinh;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th</w:t>
      </w:r>
      <w:r>
        <w:rPr>
          <w:rtl w:val="0"/>
        </w:rPr>
        <w:t>ờ</w:t>
      </w:r>
      <w:r>
        <w:rPr>
          <w:rtl w:val="0"/>
          <w:lang w:val="it-IT"/>
        </w:rPr>
        <w:t>i gian,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nl-NL"/>
        </w:rPr>
        <w:t>p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theo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  <w:lang w:val="es-ES_tradnl"/>
        </w:rPr>
        <w:t>i quy ch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 xml:space="preserve">sau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N</w:t>
      </w:r>
      <w:r>
        <w:rPr>
          <w:rtl w:val="0"/>
        </w:rPr>
        <w:t>ộ</w:t>
      </w:r>
      <w:r>
        <w:rPr>
          <w:rtl w:val="0"/>
          <w:lang w:val="de-DE"/>
        </w:rPr>
        <w:t>i dung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ỡ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ch</w:t>
      </w:r>
      <w:r>
        <w:rPr>
          <w:rtl w:val="0"/>
        </w:rPr>
        <w:t>ỉ</w:t>
      </w:r>
      <w:r>
        <w:rPr>
          <w:rtl w:val="0"/>
          <w:lang w:val="en-US"/>
        </w:rPr>
        <w:t>nh trong t</w:t>
      </w:r>
      <w:r>
        <w:rPr>
          <w:rtl w:val="0"/>
        </w:rPr>
        <w:t>ừ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>i k</w:t>
      </w:r>
      <w:r>
        <w:rPr>
          <w:rtl w:val="0"/>
        </w:rPr>
        <w:t xml:space="preserve">ỳ </w:t>
      </w:r>
      <w:r>
        <w:rPr>
          <w:rtl w:val="0"/>
          <w:lang w:val="es-ES_tradnl"/>
        </w:rPr>
        <w:t>cho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nh giao d</w:t>
      </w:r>
      <w:r>
        <w:rPr>
          <w:rtl w:val="0"/>
        </w:rPr>
        <w:t>ị</w:t>
      </w:r>
      <w:r>
        <w:rPr>
          <w:rtl w:val="0"/>
          <w:lang w:val="sv-SE"/>
        </w:rPr>
        <w:t>ch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</w:rPr>
        <w:t>à 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it-IT"/>
        </w:rPr>
        <w:t>o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  <w:lang w:val="pt-PT"/>
        </w:rPr>
        <w:t>u qu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  <w:lang w:val="it-IT"/>
        </w:rPr>
        <w:t>3.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sv-SE"/>
        </w:rPr>
        <w:t>p vi ph</w:t>
      </w:r>
      <w:r>
        <w:rPr>
          <w:rtl w:val="0"/>
        </w:rPr>
        <w:t>ạ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  <w:lang w:val="en-US"/>
        </w:rPr>
        <w:t>, thanh to</w:t>
      </w:r>
      <w:r>
        <w:rPr>
          <w:rtl w:val="0"/>
        </w:rPr>
        <w:t>á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it-IT"/>
        </w:rPr>
        <w:t>n; 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it-IT"/>
        </w:rPr>
        <w:t>i sinh, 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nl-NL"/>
        </w:rPr>
        <w:t>p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d</w:t>
      </w:r>
      <w:r>
        <w:rPr>
          <w:rtl w:val="0"/>
        </w:rPr>
        <w:t>ự</w:t>
      </w:r>
      <w:r>
        <w:rPr>
          <w:rtl w:val="0"/>
        </w:rPr>
        <w:t>a tr</w:t>
      </w:r>
      <w:r>
        <w:rPr>
          <w:rtl w:val="0"/>
          <w:lang w:val="fr-FR"/>
        </w:rPr>
        <w:t>ê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  <w:lang w:val="de-DE"/>
        </w:rPr>
        <w:t>n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en-US"/>
        </w:rPr>
        <w:t>u, th</w:t>
      </w:r>
      <w:r>
        <w:rPr>
          <w:rtl w:val="0"/>
        </w:rPr>
        <w:t>ô</w:t>
      </w:r>
      <w:r>
        <w:rPr>
          <w:rtl w:val="0"/>
          <w:lang w:val="en-US"/>
        </w:rPr>
        <w:t>ng tin sau:</w:t>
      </w:r>
    </w:p>
    <w:p>
      <w:pPr>
        <w:pStyle w:val="Normal.0"/>
        <w:spacing w:before="120" w:after="100"/>
      </w:pPr>
      <w:r>
        <w:rPr>
          <w:rtl w:val="0"/>
        </w:rPr>
        <w:t>a)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>ế</w:t>
      </w:r>
      <w:r>
        <w:rPr>
          <w:rtl w:val="0"/>
        </w:rPr>
        <w:t>,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  <w:lang w:val="pt-PT"/>
        </w:rPr>
        <w:t>,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>ỳ</w:t>
      </w:r>
      <w:r>
        <w:rPr>
          <w:rtl w:val="0"/>
          <w:lang w:val="en-US"/>
        </w:rPr>
        <w:t>, th</w:t>
      </w:r>
      <w:r>
        <w:rPr>
          <w:rtl w:val="0"/>
        </w:rPr>
        <w:t>ô</w:t>
      </w:r>
      <w:r>
        <w:rPr>
          <w:rtl w:val="0"/>
          <w:lang w:val="en-US"/>
        </w:rPr>
        <w:t>ng tin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en-US"/>
        </w:rPr>
        <w:t>nh t</w:t>
      </w:r>
      <w:r>
        <w:rPr>
          <w:rtl w:val="0"/>
        </w:rPr>
        <w:t xml:space="preserve">ừ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  <w:lang w:val="en-US"/>
        </w:rPr>
        <w:t>c tham gia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</w:rPr>
        <w:t>i sinh;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tin 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en-US"/>
        </w:rPr>
        <w:t>c ph</w:t>
      </w:r>
      <w:r>
        <w:rPr>
          <w:rtl w:val="0"/>
        </w:rPr>
        <w:t>ươ</w:t>
      </w:r>
      <w:r>
        <w:rPr>
          <w:rtl w:val="0"/>
          <w:lang w:val="en-US"/>
        </w:rPr>
        <w:t>ng ti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ú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  <w:lang w:val="it-IT"/>
        </w:rPr>
        <w:t>i tr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</w:rPr>
        <w:t>m r</w:t>
      </w:r>
      <w:r>
        <w:rPr>
          <w:rtl w:val="0"/>
          <w:lang w:val="pt-PT"/>
        </w:rPr>
        <w:t xml:space="preserve">õ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  <w:lang w:val="fr-FR"/>
        </w:rPr>
        <w:t>c 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  <w:lang w:val="en-US"/>
        </w:rPr>
        <w:t xml:space="preserve">n 02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16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5.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  <w:lang w:val="it-IT"/>
        </w:rPr>
        <w:t xml:space="preserve">m tra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thu</w:t>
      </w:r>
      <w:r>
        <w:rPr>
          <w:rtl w:val="0"/>
        </w:rPr>
        <w:t>ộ</w:t>
      </w:r>
      <w:r>
        <w:rPr>
          <w:rtl w:val="0"/>
          <w:lang w:val="en-US"/>
        </w:rPr>
        <w:t>c ph</w:t>
      </w:r>
      <w:r>
        <w:rPr>
          <w:rtl w:val="0"/>
        </w:rPr>
        <w:t>ạ</w:t>
      </w:r>
      <w:r>
        <w:rPr>
          <w:rtl w:val="0"/>
          <w:lang w:val="sv-SE"/>
        </w:rPr>
        <w:t>m vi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bookmarkStart w:name="dieu_19" w:id="3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19.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  <w:lang w:val="fr-FR"/>
        </w:rPr>
        <w:t>u tr</w:t>
      </w:r>
      <w:r>
        <w:rPr>
          <w:b w:val="1"/>
          <w:bCs w:val="1"/>
          <w:rtl w:val="0"/>
        </w:rPr>
        <w:t xml:space="preserve">ữ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ữ 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u ph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c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  <w:bookmarkEnd w:id="30"/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  <w:lang w:val="fr-FR"/>
        </w:rPr>
        <w:t>u tr</w:t>
      </w:r>
      <w:r>
        <w:rPr>
          <w:rtl w:val="0"/>
        </w:rPr>
        <w:t xml:space="preserve">ữ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>ề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1.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  <w:lang w:val="en-US"/>
        </w:rPr>
        <w:t>, thanh to</w:t>
      </w:r>
      <w:r>
        <w:rPr>
          <w:rtl w:val="0"/>
        </w:rPr>
        <w:t>á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pt-PT"/>
        </w:rPr>
        <w:t xml:space="preserve">i sinh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ậ</w:t>
      </w:r>
      <w:r>
        <w:rPr>
          <w:rtl w:val="0"/>
          <w:lang w:val="nl-NL"/>
        </w:rPr>
        <w:t>p nh</w:t>
      </w:r>
      <w:r>
        <w:rPr>
          <w:rtl w:val="0"/>
        </w:rPr>
        <w:t>ậ</w:t>
      </w:r>
      <w:r>
        <w:rPr>
          <w:rtl w:val="0"/>
          <w:lang w:val="en-US"/>
        </w:rPr>
        <w:t>t li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>ế</w:t>
      </w:r>
      <w:r>
        <w:rPr>
          <w:rtl w:val="0"/>
        </w:rPr>
        <w:t>,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  <w:lang w:val="en-US"/>
        </w:rPr>
        <w:t>ng lo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n, s</w:t>
      </w:r>
      <w:r>
        <w:rPr>
          <w:rtl w:val="0"/>
        </w:rPr>
        <w:t>ả</w:t>
      </w:r>
      <w:r>
        <w:rPr>
          <w:rtl w:val="0"/>
          <w:lang w:val="en-US"/>
        </w:rPr>
        <w:t>n ph</w:t>
      </w:r>
      <w:r>
        <w:rPr>
          <w:rtl w:val="0"/>
        </w:rPr>
        <w:t>ẩ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en-US"/>
        </w:rPr>
        <w:t>i sinh theo t</w:t>
      </w:r>
      <w:r>
        <w:rPr>
          <w:rtl w:val="0"/>
        </w:rPr>
        <w:t>ừ</w:t>
      </w:r>
      <w:r>
        <w:rPr>
          <w:rtl w:val="0"/>
          <w:lang w:val="en-US"/>
        </w:rPr>
        <w:t>ng lo</w:t>
      </w:r>
      <w:r>
        <w:rPr>
          <w:rtl w:val="0"/>
        </w:rPr>
        <w:t>ạ</w:t>
      </w:r>
      <w:r>
        <w:rPr>
          <w:rtl w:val="0"/>
          <w:lang w:val="pt-PT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pt-PT"/>
        </w:rPr>
        <w:t>i sinh.</w:t>
      </w:r>
    </w:p>
    <w:p>
      <w:pPr>
        <w:pStyle w:val="Normal.0"/>
        <w:spacing w:before="120" w:after="100"/>
      </w:pPr>
      <w:r>
        <w:rPr>
          <w:rtl w:val="0"/>
        </w:rPr>
        <w:t>4.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it-IT"/>
        </w:rPr>
        <w:t>u giao d</w:t>
      </w:r>
      <w:r>
        <w:rPr>
          <w:rtl w:val="0"/>
        </w:rPr>
        <w:t>ị</w:t>
      </w:r>
      <w:r>
        <w:rPr>
          <w:rtl w:val="0"/>
          <w:lang w:val="de-DE"/>
        </w:rPr>
        <w:t>ch ngo</w:t>
      </w:r>
      <w:r>
        <w:rPr>
          <w:rtl w:val="0"/>
          <w:lang w:val="fr-FR"/>
        </w:rPr>
        <w:t>à</w:t>
      </w:r>
      <w:r>
        <w:rPr>
          <w:rtl w:val="0"/>
        </w:rPr>
        <w:t>i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5.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nl-NL"/>
        </w:rPr>
        <w:t>ng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it-IT"/>
        </w:rPr>
        <w:t>n,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>ế</w:t>
      </w:r>
      <w:r>
        <w:rPr>
          <w:rtl w:val="0"/>
        </w:rPr>
        <w:t>,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20" w:id="3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20.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k</w:t>
      </w:r>
      <w:r>
        <w:rPr>
          <w:b w:val="1"/>
          <w:bCs w:val="1"/>
          <w:rtl w:val="0"/>
        </w:rPr>
        <w:t>ỳ</w:t>
      </w:r>
      <w:bookmarkEnd w:id="31"/>
    </w:p>
    <w:p>
      <w:pPr>
        <w:pStyle w:val="Normal.0"/>
        <w:spacing w:before="120" w:after="100"/>
      </w:pPr>
      <w:r>
        <w:rPr>
          <w:rtl w:val="0"/>
        </w:rPr>
        <w:t>1. Ch</w:t>
      </w:r>
      <w:r>
        <w:rPr>
          <w:rtl w:val="0"/>
        </w:rPr>
        <w:t>ậ</w:t>
      </w:r>
      <w:r>
        <w:rPr>
          <w:rtl w:val="0"/>
          <w:lang w:val="pt-PT"/>
        </w:rPr>
        <w:t>m nh</w:t>
      </w:r>
      <w:r>
        <w:rPr>
          <w:rtl w:val="0"/>
        </w:rPr>
        <w:t>ấ</w:t>
      </w:r>
      <w:r>
        <w:rPr>
          <w:rtl w:val="0"/>
          <w:lang w:val="it-IT"/>
        </w:rPr>
        <w:t>t 16 gi</w:t>
      </w:r>
      <w:r>
        <w:rPr>
          <w:rtl w:val="0"/>
        </w:rPr>
        <w:t xml:space="preserve">ờ </w:t>
      </w:r>
      <w:r>
        <w:rPr>
          <w:rtl w:val="0"/>
          <w:lang w:val="en-US"/>
        </w:rPr>
        <w:t>30 ph</w:t>
      </w:r>
      <w:r>
        <w:rPr>
          <w:rtl w:val="0"/>
        </w:rPr>
        <w:t>ú</w:t>
      </w:r>
      <w:r>
        <w:rPr>
          <w:rtl w:val="0"/>
        </w:rPr>
        <w:t>t ng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y giao d</w:t>
      </w:r>
      <w:r>
        <w:rPr>
          <w:rtl w:val="0"/>
        </w:rPr>
        <w:t>ị</w:t>
      </w:r>
      <w:r>
        <w:rPr>
          <w:rtl w:val="0"/>
          <w:lang w:val="de-DE"/>
        </w:rPr>
        <w:t>ch,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m</w:t>
      </w:r>
      <w:r>
        <w:rPr>
          <w:rtl w:val="0"/>
        </w:rPr>
        <w:t xml:space="preserve">ở </w:t>
      </w:r>
      <w:r>
        <w:rPr>
          <w:rtl w:val="0"/>
          <w:lang w:val="es-ES_tradnl"/>
        </w:rPr>
        <w:t>cu</w:t>
      </w:r>
      <w:r>
        <w:rPr>
          <w:rtl w:val="0"/>
        </w:rPr>
        <w:t>ố</w:t>
      </w:r>
      <w:r>
        <w:rPr>
          <w:rtl w:val="0"/>
          <w:lang w:val="it-IT"/>
        </w:rPr>
        <w:t>i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  <w:lang w:val="en-US"/>
        </w:rPr>
        <w:t>ng lo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en-US"/>
        </w:rPr>
        <w:t xml:space="preserve">i sinh theo </w:t>
      </w:r>
      <w:bookmarkStart w:name="bieumau_ms_01_pl_02" w:id="32"/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01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  <w:lang w:val="fr-FR"/>
        </w:rPr>
        <w:t>c II</w:t>
      </w:r>
      <w:bookmarkEnd w:id="32"/>
      <w:r>
        <w:rPr>
          <w:rtl w:val="0"/>
        </w:rPr>
        <w:t xml:space="preserve">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Trong v</w:t>
      </w:r>
      <w:r>
        <w:rPr>
          <w:rtl w:val="0"/>
          <w:lang w:val="it-IT"/>
        </w:rPr>
        <w:t>ò</w:t>
      </w:r>
      <w:r>
        <w:rPr>
          <w:rtl w:val="0"/>
        </w:rPr>
        <w:t>ng 02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it-IT"/>
        </w:rPr>
        <w:t>a tu</w:t>
      </w:r>
      <w:r>
        <w:rPr>
          <w:rtl w:val="0"/>
        </w:rPr>
        <w:t>ầ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  <w:lang w:val="en-US"/>
        </w:rPr>
        <w:t>p theo,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en-US"/>
        </w:rPr>
        <w:t>ch tu</w:t>
      </w:r>
      <w:r>
        <w:rPr>
          <w:rtl w:val="0"/>
        </w:rPr>
        <w:t>ầ</w:t>
      </w:r>
      <w:r>
        <w:rPr>
          <w:rtl w:val="0"/>
          <w:lang w:val="en-US"/>
        </w:rPr>
        <w:t xml:space="preserve">n theo </w:t>
      </w:r>
      <w:bookmarkStart w:name="bieumau_ms_02_pl_02" w:id="33"/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02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  <w:lang w:val="fr-FR"/>
        </w:rPr>
        <w:t>c II</w:t>
      </w:r>
      <w:bookmarkEnd w:id="33"/>
      <w:r>
        <w:rPr>
          <w:rtl w:val="0"/>
        </w:rPr>
        <w:t xml:space="preserve">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y,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sau: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s</w:t>
      </w:r>
      <w:r>
        <w:rPr>
          <w:rtl w:val="0"/>
        </w:rPr>
        <w:t>ử</w:t>
      </w:r>
      <w:r>
        <w:rPr>
          <w:rtl w:val="0"/>
        </w:rPr>
        <w:t>a l</w:t>
      </w:r>
      <w:r>
        <w:rPr>
          <w:rtl w:val="0"/>
        </w:rPr>
        <w:t>ỗ</w:t>
      </w:r>
      <w:r>
        <w:rPr>
          <w:rtl w:val="0"/>
          <w:lang w:val="da-DK"/>
        </w:rPr>
        <w:t>i,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l</w:t>
      </w:r>
      <w:r>
        <w:rPr>
          <w:rtl w:val="0"/>
        </w:rPr>
        <w:t>ỗ</w:t>
      </w:r>
      <w:r>
        <w:rPr>
          <w:rtl w:val="0"/>
          <w:lang w:val="fr-FR"/>
        </w:rPr>
        <w:t>i, l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en-US"/>
        </w:rPr>
        <w:t>n thanh to</w:t>
      </w:r>
      <w:r>
        <w:rPr>
          <w:rtl w:val="0"/>
        </w:rPr>
        <w:t>á</w:t>
      </w:r>
      <w:r>
        <w:rPr>
          <w:rtl w:val="0"/>
          <w:lang w:val="es-ES_tradnl"/>
        </w:rPr>
        <w:t>n, lo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  <w:lang w:val="en-US"/>
        </w:rPr>
        <w:t>b) Th</w:t>
      </w:r>
      <w:r>
        <w:rPr>
          <w:rtl w:val="0"/>
        </w:rPr>
        <w:t>ố</w:t>
      </w:r>
      <w:r>
        <w:rPr>
          <w:rtl w:val="0"/>
          <w:lang w:val="da-DK"/>
        </w:rPr>
        <w:t>ng k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chuy</w:t>
      </w:r>
      <w:r>
        <w:rPr>
          <w:rtl w:val="0"/>
        </w:rPr>
        <w:t>ể</w:t>
      </w:r>
      <w:r>
        <w:rPr>
          <w:rtl w:val="0"/>
          <w:lang w:val="es-ES_tradnl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kh</w:t>
      </w:r>
      <w:r>
        <w:rPr>
          <w:rtl w:val="0"/>
        </w:rPr>
        <w:t>ô</w:t>
      </w:r>
      <w:r>
        <w:rPr>
          <w:rtl w:val="0"/>
          <w:lang w:val="pt-PT"/>
        </w:rPr>
        <w:t>ng qua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it-IT"/>
        </w:rPr>
        <w:t>n: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ch</w:t>
      </w:r>
      <w:r>
        <w:rPr>
          <w:rtl w:val="0"/>
          <w:lang w:val="fr-FR"/>
        </w:rPr>
        <w:t>à</w:t>
      </w:r>
      <w:r>
        <w:rPr>
          <w:rtl w:val="0"/>
        </w:rPr>
        <w:t>o mua c</w:t>
      </w:r>
      <w:r>
        <w:rPr>
          <w:rtl w:val="0"/>
        </w:rPr>
        <w:t>ô</w:t>
      </w:r>
      <w:r>
        <w:rPr>
          <w:rtl w:val="0"/>
          <w:lang w:val="en-US"/>
        </w:rPr>
        <w:t xml:space="preserve">ng khai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en-US"/>
        </w:rPr>
        <w:t>t; chuy</w:t>
      </w:r>
      <w:r>
        <w:rPr>
          <w:rtl w:val="0"/>
        </w:rPr>
        <w:t>ể</w:t>
      </w:r>
      <w:r>
        <w:rPr>
          <w:rtl w:val="0"/>
          <w:lang w:val="es-ES_tradnl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cho vay sang b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vay 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ạ</w:t>
      </w:r>
      <w:r>
        <w:rPr>
          <w:rtl w:val="0"/>
        </w:rPr>
        <w:t>i (tr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 xml:space="preserve">p vay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do s</w:t>
      </w:r>
      <w:r>
        <w:rPr>
          <w:rtl w:val="0"/>
        </w:rPr>
        <w:t>ử</w:t>
      </w:r>
      <w:r>
        <w:rPr>
          <w:rtl w:val="0"/>
        </w:rPr>
        <w:t>a l</w:t>
      </w:r>
      <w:r>
        <w:rPr>
          <w:rtl w:val="0"/>
        </w:rPr>
        <w:t>ỗ</w:t>
      </w:r>
      <w:r>
        <w:rPr>
          <w:rtl w:val="0"/>
          <w:lang w:val="it-IT"/>
        </w:rPr>
        <w:t>i d</w:t>
      </w:r>
      <w:r>
        <w:rPr>
          <w:rtl w:val="0"/>
        </w:rPr>
        <w:t>ẫ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en-US"/>
        </w:rPr>
        <w:t>m th</w:t>
      </w:r>
      <w:r>
        <w:rPr>
          <w:rtl w:val="0"/>
        </w:rPr>
        <w:t>ờ</w:t>
      </w:r>
      <w:r>
        <w:rPr>
          <w:rtl w:val="0"/>
          <w:lang w:val="en-US"/>
        </w:rPr>
        <w:t>i thi</w:t>
      </w:r>
      <w:r>
        <w:rPr>
          <w:rtl w:val="0"/>
        </w:rPr>
        <w:t>ế</w:t>
      </w:r>
      <w:r>
        <w:rPr>
          <w:rtl w:val="0"/>
        </w:rPr>
        <w:t>u h</w:t>
      </w:r>
      <w:r>
        <w:rPr>
          <w:rtl w:val="0"/>
        </w:rPr>
        <w:t>ụ</w:t>
      </w:r>
      <w:r>
        <w:rPr>
          <w:rtl w:val="0"/>
          <w:lang w:val="fr-FR"/>
        </w:rPr>
        <w:t>t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</w:rPr>
        <w:t>à 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l</w:t>
      </w:r>
      <w:r>
        <w:rPr>
          <w:rtl w:val="0"/>
        </w:rPr>
        <w:t>ậ</w:t>
      </w:r>
      <w:r>
        <w:rPr>
          <w:rtl w:val="0"/>
          <w:lang w:val="fr-FR"/>
        </w:rPr>
        <w:t>p qu</w:t>
      </w:r>
      <w:r>
        <w:rPr>
          <w:rtl w:val="0"/>
        </w:rPr>
        <w:t xml:space="preserve">ỹ </w:t>
      </w:r>
      <w:r>
        <w:rPr>
          <w:rtl w:val="0"/>
          <w:lang w:val="de-DE"/>
        </w:rPr>
        <w:t>ETF c</w:t>
      </w:r>
      <w:r>
        <w:rPr>
          <w:rtl w:val="0"/>
        </w:rPr>
        <w:t>ó đ</w:t>
      </w:r>
      <w:r>
        <w:rPr>
          <w:rtl w:val="0"/>
        </w:rPr>
        <w:t xml:space="preserve">ủ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g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p v</w:t>
      </w:r>
      <w:r>
        <w:rPr>
          <w:rtl w:val="0"/>
        </w:rPr>
        <w:t>ố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sv-SE"/>
        </w:rPr>
        <w:t>ch 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  <w:lang w:val="da-DK"/>
        </w:rPr>
        <w:t>i danh m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  <w:lang w:val="it-IT"/>
        </w:rPr>
        <w:t>i qu</w:t>
      </w:r>
      <w:r>
        <w:rPr>
          <w:rtl w:val="0"/>
        </w:rPr>
        <w:t xml:space="preserve">ỹ </w:t>
      </w:r>
      <w:r>
        <w:rPr>
          <w:rtl w:val="0"/>
        </w:rPr>
        <w:t>ETF); chuy</w:t>
      </w:r>
      <w:r>
        <w:rPr>
          <w:rtl w:val="0"/>
        </w:rPr>
        <w:t>ể</w:t>
      </w:r>
      <w:r>
        <w:rPr>
          <w:rtl w:val="0"/>
          <w:lang w:val="es-ES_tradnl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l</w:t>
      </w:r>
      <w:r>
        <w:rPr>
          <w:rtl w:val="0"/>
          <w:lang w:val="fr-FR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vay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a-DK"/>
        </w:rPr>
        <w:t>n sang b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cho vay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b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vay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en-US"/>
        </w:rPr>
        <w:t>ng ho</w:t>
      </w:r>
      <w:r>
        <w:rPr>
          <w:rtl w:val="0"/>
          <w:lang w:val="fr-FR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  <w:lang w:val="sv-SE"/>
        </w:rPr>
        <w:t>kho</w:t>
      </w:r>
      <w:r>
        <w:rPr>
          <w:rtl w:val="0"/>
        </w:rPr>
        <w:t>ả</w:t>
      </w:r>
      <w:r>
        <w:rPr>
          <w:rtl w:val="0"/>
          <w:lang w:val="es-ES_tradnl"/>
        </w:rPr>
        <w:t>n vay; chuy</w:t>
      </w:r>
      <w:r>
        <w:rPr>
          <w:rtl w:val="0"/>
        </w:rPr>
        <w:t>ể</w:t>
      </w:r>
      <w:r>
        <w:rPr>
          <w:rtl w:val="0"/>
          <w:lang w:val="es-ES_tradnl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  <w:lang w:val="pt-PT"/>
        </w:rPr>
        <w:t>u do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l</w:t>
      </w:r>
      <w:r>
        <w:rPr>
          <w:rtl w:val="0"/>
          <w:lang w:val="fr-FR"/>
        </w:rPr>
        <w:t xml:space="preserve">à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trong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ầ</w:t>
      </w:r>
      <w:r>
        <w:rPr>
          <w:rtl w:val="0"/>
          <w:lang w:val="pt-PT"/>
        </w:rPr>
        <w:t>m c</w:t>
      </w:r>
      <w:r>
        <w:rPr>
          <w:rtl w:val="0"/>
        </w:rPr>
        <w:t>ố</w:t>
      </w:r>
      <w:r>
        <w:rPr>
          <w:rtl w:val="0"/>
          <w:lang w:val="en-US"/>
        </w:rPr>
        <w:t>, th</w:t>
      </w:r>
      <w:r>
        <w:rPr>
          <w:rtl w:val="0"/>
        </w:rPr>
        <w:t xml:space="preserve">ế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p,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chuy</w:t>
      </w:r>
      <w:r>
        <w:rPr>
          <w:rtl w:val="0"/>
        </w:rPr>
        <w:t>ể</w:t>
      </w:r>
      <w:r>
        <w:rPr>
          <w:rtl w:val="0"/>
          <w:lang w:val="es-ES_tradnl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</w:rPr>
        <w:t>c sau khi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</w:rPr>
        <w:t xml:space="preserve">ề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danh t</w:t>
      </w:r>
      <w:r>
        <w:rPr>
          <w:rtl w:val="0"/>
        </w:rPr>
        <w:t>í</w:t>
      </w:r>
      <w:r>
        <w:rPr>
          <w:rtl w:val="0"/>
          <w:lang w:val="en-US"/>
        </w:rPr>
        <w:t>nh 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ở</w:t>
      </w:r>
      <w:r>
        <w:rPr>
          <w:rtl w:val="0"/>
        </w:rPr>
        <w:t xml:space="preserve">, </w:t>
      </w:r>
      <w:r>
        <w:rPr>
          <w:rtl w:val="0"/>
        </w:rPr>
        <w:t>đó</w:t>
      </w:r>
      <w:r>
        <w:rPr>
          <w:rtl w:val="0"/>
          <w:lang w:val="en-US"/>
        </w:rPr>
        <w:t xml:space="preserve">ng,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</w:rPr>
        <w:t>ng tin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  <w:lang w:val="pt-PT"/>
        </w:rPr>
        <w:t>d) Danh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  <w:lang w:val="en-US"/>
        </w:rPr>
        <w:t>ng l</w:t>
      </w:r>
      <w:r>
        <w:rPr>
          <w:rtl w:val="0"/>
        </w:rPr>
        <w:t>ớ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sv-SE"/>
        </w:rPr>
        <w:t xml:space="preserve">ng ty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3. Trong v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>ng 10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>á</w:t>
      </w:r>
      <w:r>
        <w:rPr>
          <w:rtl w:val="0"/>
          <w:lang w:val="en-US"/>
        </w:rPr>
        <w:t>ng ti</w:t>
      </w:r>
      <w:r>
        <w:rPr>
          <w:rtl w:val="0"/>
        </w:rPr>
        <w:t>ế</w:t>
      </w:r>
      <w:r>
        <w:rPr>
          <w:rtl w:val="0"/>
          <w:lang w:val="en-US"/>
        </w:rPr>
        <w:t>p theo,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  <w:lang w:val="en-US"/>
        </w:rPr>
        <w:t>th</w:t>
      </w:r>
      <w:r>
        <w:rPr>
          <w:rtl w:val="0"/>
        </w:rPr>
        <w:t>á</w:t>
      </w:r>
      <w:r>
        <w:rPr>
          <w:rtl w:val="0"/>
          <w:lang w:val="en-US"/>
        </w:rPr>
        <w:t xml:space="preserve">ng theo </w:t>
      </w:r>
      <w:bookmarkStart w:name="bieumau_ms_03_pl_02" w:id="34"/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  <w:lang w:val="es-ES_tradnl"/>
        </w:rPr>
        <w:t xml:space="preserve">03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  <w:lang w:val="fr-FR"/>
        </w:rPr>
        <w:t>c II</w:t>
      </w:r>
      <w:bookmarkEnd w:id="34"/>
      <w:r>
        <w:rPr>
          <w:rtl w:val="0"/>
        </w:rPr>
        <w:t xml:space="preserve">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y,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  <w:lang w:val="en-US"/>
        </w:rPr>
        <w:t>ng tin sau: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s-ES_tradnl"/>
        </w:rPr>
        <w:t>o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en-US"/>
        </w:rPr>
        <w:t>ng thanh to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c</w:t>
      </w:r>
      <w:r>
        <w:rPr>
          <w:rtl w:val="0"/>
        </w:rPr>
        <w:t>ấ</w:t>
      </w:r>
      <w:r>
        <w:rPr>
          <w:rtl w:val="0"/>
          <w:lang w:val="nl-NL"/>
        </w:rPr>
        <w:t>p m</w:t>
      </w:r>
      <w:r>
        <w:rPr>
          <w:rtl w:val="0"/>
          <w:lang w:val="pt-PT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  <w:lang w:val="en-US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danh m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  <w:lang w:val="en-US"/>
        </w:rPr>
        <w:t>theo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ủ</w:t>
      </w:r>
      <w:r>
        <w:rPr>
          <w:rtl w:val="0"/>
        </w:rPr>
        <w:t>a to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th</w:t>
      </w:r>
      <w:r>
        <w:rPr>
          <w:rtl w:val="0"/>
        </w:rPr>
        <w:t>ố</w:t>
      </w:r>
      <w:r>
        <w:rPr>
          <w:rtl w:val="0"/>
          <w:lang w:val="da-DK"/>
        </w:rPr>
        <w:t>ng k</w:t>
      </w:r>
      <w:r>
        <w:rPr>
          <w:rtl w:val="0"/>
          <w:lang w:val="pt-PT"/>
        </w:rPr>
        <w:t xml:space="preserve">ê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>m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nl-NL"/>
        </w:rPr>
        <w:t>p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  <w:lang w:val="en-US"/>
        </w:rPr>
        <w:t>theo 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pt-PT"/>
        </w:rPr>
        <w:t>i sinh.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1, 2,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nl-NL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ệ</w:t>
      </w:r>
      <w:r>
        <w:rPr>
          <w:rtl w:val="0"/>
          <w:lang w:val="nl-NL"/>
        </w:rPr>
        <w:t>p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(c</w:t>
      </w:r>
      <w:r>
        <w:rPr>
          <w:rtl w:val="0"/>
        </w:rPr>
        <w:t>ó 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ch</w:t>
      </w:r>
      <w:r>
        <w:rPr>
          <w:rtl w:val="0"/>
        </w:rPr>
        <w:t>ươ</w:t>
      </w:r>
      <w:r>
        <w:rPr>
          <w:rtl w:val="0"/>
          <w:lang w:val="en-US"/>
        </w:rPr>
        <w:t>ng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>ý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). Ri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s-ES_tradnl"/>
        </w:rPr>
        <w:t xml:space="preserve">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d, </w:t>
      </w:r>
      <w:r>
        <w:rPr>
          <w:rtl w:val="0"/>
        </w:rPr>
        <w:t xml:space="preserve">đ </w:t>
      </w:r>
      <w:r>
        <w:rPr>
          <w:rtl w:val="0"/>
          <w:lang w:val="sv-SE"/>
        </w:rPr>
        <w:t>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g</w:t>
      </w:r>
      <w:r>
        <w:rPr>
          <w:rtl w:val="0"/>
        </w:rPr>
        <w:t>ử</w:t>
      </w:r>
      <w:r>
        <w:rPr>
          <w:rtl w:val="0"/>
          <w:lang w:val="it-IT"/>
        </w:rPr>
        <w:t>i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.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</w:rPr>
        <w:t>u gi</w:t>
      </w:r>
      <w:r>
        <w:rPr>
          <w:rtl w:val="0"/>
        </w:rPr>
        <w:t xml:space="preserve">ữ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  <w:lang w:val="pt-PT"/>
        </w:rPr>
        <w:t xml:space="preserve">đã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21" w:id="3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21.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b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t th</w:t>
      </w:r>
      <w:r>
        <w:rPr>
          <w:b w:val="1"/>
          <w:bCs w:val="1"/>
          <w:rtl w:val="0"/>
        </w:rPr>
        <w:t>ườ</w:t>
      </w:r>
      <w:r>
        <w:rPr>
          <w:b w:val="1"/>
          <w:bCs w:val="1"/>
          <w:rtl w:val="0"/>
        </w:rPr>
        <w:t>ng</w:t>
      </w:r>
      <w:bookmarkEnd w:id="35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ng khi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de-DE"/>
        </w:rPr>
        <w:t>n 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>ỹ</w:t>
      </w:r>
      <w:r>
        <w:rPr>
          <w:rtl w:val="0"/>
          <w:lang w:val="it-IT"/>
        </w:rPr>
        <w:t>, 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</w:rPr>
        <w:t>ế</w:t>
      </w:r>
      <w:r>
        <w:rPr>
          <w:rtl w:val="0"/>
        </w:rPr>
        <w:t>,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  <w:lang w:val="en-US"/>
        </w:rPr>
        <w:t>, thanh to</w:t>
      </w:r>
      <w:r>
        <w:rPr>
          <w:rtl w:val="0"/>
        </w:rPr>
        <w:t>á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da-DK"/>
        </w:rPr>
        <w:t>ng kh</w:t>
      </w:r>
      <w:r>
        <w:rPr>
          <w:rtl w:val="0"/>
        </w:rPr>
        <w:t>ắ</w:t>
      </w:r>
      <w:r>
        <w:rPr>
          <w:rtl w:val="0"/>
          <w:lang w:val="en-US"/>
        </w:rPr>
        <w:t>c ph</w:t>
      </w:r>
      <w:r>
        <w:rPr>
          <w:rtl w:val="0"/>
        </w:rPr>
        <w:t>ụ</w:t>
      </w:r>
      <w:r>
        <w:rPr>
          <w:rtl w:val="0"/>
          <w:lang w:val="en-US"/>
        </w:rPr>
        <w:t>c ngay trong ng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y vi ph</w:t>
      </w:r>
      <w:r>
        <w:rPr>
          <w:rtl w:val="0"/>
        </w:rPr>
        <w:t>ạ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fr-FR"/>
        </w:rPr>
        <w:t>c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ệ</w:t>
      </w:r>
      <w:r>
        <w:rPr>
          <w:rtl w:val="0"/>
          <w:lang w:val="nl-NL"/>
        </w:rPr>
        <w:t>p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  <w:lang w:val="en-US"/>
        </w:rPr>
        <w:t>trong v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>ng hai m</w:t>
      </w:r>
      <w:r>
        <w:rPr>
          <w:rtl w:val="0"/>
        </w:rPr>
        <w:t>ươ</w:t>
      </w:r>
      <w:r>
        <w:rPr>
          <w:rtl w:val="0"/>
        </w:rPr>
        <w:t>i b</w:t>
      </w:r>
      <w:r>
        <w:rPr>
          <w:rtl w:val="0"/>
        </w:rPr>
        <w:t>ố</w:t>
      </w:r>
      <w:r>
        <w:rPr>
          <w:rtl w:val="0"/>
        </w:rPr>
        <w:t>n (24) gi</w:t>
      </w:r>
      <w:r>
        <w:rPr>
          <w:rtl w:val="0"/>
        </w:rPr>
        <w:t xml:space="preserve">ờ </w:t>
      </w:r>
      <w:r>
        <w:rPr>
          <w:rtl w:val="0"/>
        </w:rPr>
        <w:t>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  <w:lang w:val="it-IT"/>
        </w:rPr>
        <w:t>khi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ậ</w:t>
      </w:r>
      <w:r>
        <w:rPr>
          <w:rtl w:val="0"/>
          <w:lang w:val="nl-NL"/>
        </w:rPr>
        <w:t>p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o, c</w:t>
      </w:r>
      <w:r>
        <w:rPr>
          <w:rtl w:val="0"/>
        </w:rPr>
        <w:t xml:space="preserve">ó 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  <w:lang w:val="de-DE"/>
        </w:rPr>
        <w:t>nh gi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 xml:space="preserve">ề </w:t>
      </w:r>
      <w:r>
        <w:rPr>
          <w:rtl w:val="0"/>
          <w:lang w:val="en-US"/>
        </w:rPr>
        <w:t>xu</w:t>
      </w:r>
      <w:r>
        <w:rPr>
          <w:rtl w:val="0"/>
        </w:rPr>
        <w:t>ấ</w:t>
      </w:r>
      <w:r>
        <w:rPr>
          <w:rtl w:val="0"/>
          <w:lang w:val="en-US"/>
        </w:rPr>
        <w:t>t ph</w:t>
      </w:r>
      <w:r>
        <w:rPr>
          <w:rtl w:val="0"/>
        </w:rPr>
        <w:t>ươ</w:t>
      </w:r>
      <w:r>
        <w:rPr>
          <w:rtl w:val="0"/>
          <w:lang w:val="en-US"/>
        </w:rPr>
        <w:t xml:space="preserve">ng </w:t>
      </w:r>
      <w:r>
        <w:rPr>
          <w:rtl w:val="0"/>
        </w:rPr>
        <w:t>á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n-US"/>
        </w:rPr>
        <w:t>theo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n-US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fr-FR"/>
        </w:rPr>
        <w:t>t qu</w:t>
      </w:r>
      <w:r>
        <w:rPr>
          <w:rtl w:val="0"/>
        </w:rPr>
        <w:t xml:space="preserve">á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22" w:id="3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22.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t theo y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u</w:t>
      </w:r>
      <w:bookmarkEnd w:id="36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khi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g</w:t>
      </w:r>
      <w:r>
        <w:rPr>
          <w:rtl w:val="0"/>
        </w:rPr>
        <w:t>ử</w:t>
      </w:r>
      <w:r>
        <w:rPr>
          <w:rtl w:val="0"/>
        </w:rPr>
        <w:t xml:space="preserve">i cho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</w:t>
      </w:r>
      <w:r>
        <w:rPr>
          <w:rtl w:val="0"/>
          <w:lang w:val="fr-FR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 xml:space="preserve">ể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  <w:lang w:val="de-DE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ệ</w:t>
      </w:r>
      <w:r>
        <w:rPr>
          <w:rtl w:val="0"/>
          <w:lang w:val="nl-NL"/>
        </w:rPr>
        <w:t>p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  <w:lang w:val="en-US"/>
        </w:rPr>
        <w:t>theo n</w:t>
      </w:r>
      <w:r>
        <w:rPr>
          <w:rtl w:val="0"/>
        </w:rPr>
        <w:t>ộ</w:t>
      </w:r>
      <w:r>
        <w:rPr>
          <w:rtl w:val="0"/>
          <w:lang w:val="de-DE"/>
        </w:rPr>
        <w:t>i dung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bookmarkStart w:name="muc_4" w:id="37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4.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C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en-US"/>
        </w:rPr>
        <w:t>NH VI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  <w:lang w:val="pt-PT"/>
        </w:rPr>
        <w:t>N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de-DE"/>
        </w:rPr>
        <w:t>CH</w:t>
      </w:r>
      <w:bookmarkEnd w:id="37"/>
    </w:p>
    <w:p>
      <w:pPr>
        <w:pStyle w:val="Normal.0"/>
        <w:spacing w:before="120" w:after="100"/>
      </w:pPr>
      <w:bookmarkStart w:name="dieu_23" w:id="3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23.</w:t>
      </w:r>
      <w:bookmarkEnd w:id="38"/>
      <w:r>
        <w:rPr>
          <w:b w:val="1"/>
          <w:bCs w:val="1"/>
          <w:rtl w:val="0"/>
        </w:rPr>
        <w:t xml:space="preserve"> </w:t>
      </w:r>
      <w:bookmarkStart w:name="dieu_23_name" w:id="39"/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</w:t>
      </w:r>
      <w:bookmarkEnd w:id="39"/>
    </w:p>
    <w:p>
      <w:pPr>
        <w:pStyle w:val="Normal.0"/>
        <w:spacing w:before="120" w:after="100"/>
      </w:pPr>
      <w:r>
        <w:rPr>
          <w:rtl w:val="0"/>
        </w:rPr>
        <w:t>1. Tri</w:t>
      </w:r>
      <w:r>
        <w:rPr>
          <w:rtl w:val="0"/>
        </w:rPr>
        <w:t>ể</w:t>
      </w:r>
      <w:r>
        <w:rPr>
          <w:rtl w:val="0"/>
        </w:rPr>
        <w:t xml:space="preserve">n khai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>ng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theo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  <w:lang w:val="it-IT"/>
        </w:rPr>
        <w:t>2.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de-DE"/>
        </w:rPr>
        <w:t>t di</w:t>
      </w:r>
      <w:r>
        <w:rPr>
          <w:rtl w:val="0"/>
        </w:rPr>
        <w:t>ễ</w:t>
      </w:r>
      <w:r>
        <w:rPr>
          <w:rtl w:val="0"/>
        </w:rPr>
        <w:t>n bi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en-US"/>
        </w:rPr>
        <w:t>ch trong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en-US"/>
        </w:rPr>
        <w:t>ch t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ơ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>ụ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  <w:lang w:val="it-IT"/>
        </w:rPr>
        <w:t>3.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t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ơ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ậ</w:t>
      </w:r>
      <w:r>
        <w:rPr>
          <w:rtl w:val="0"/>
          <w:lang w:val="nl-NL"/>
        </w:rPr>
        <w:t>p nh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gi</w:t>
      </w:r>
      <w:r>
        <w:rPr>
          <w:rtl w:val="0"/>
        </w:rPr>
        <w:t xml:space="preserve">ữ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  <w:lang w:val="it-IT"/>
        </w:rPr>
        <w:t>, ch</w:t>
      </w:r>
      <w:r>
        <w:rPr>
          <w:rtl w:val="0"/>
        </w:rPr>
        <w:t>ứ</w:t>
      </w:r>
      <w:r>
        <w:rPr>
          <w:rtl w:val="0"/>
          <w:lang w:val="en-US"/>
        </w:rPr>
        <w:t>ng t</w:t>
      </w:r>
      <w:r>
        <w:rPr>
          <w:rtl w:val="0"/>
        </w:rPr>
        <w:t xml:space="preserve">ừ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it-IT"/>
        </w:rPr>
        <w:t>nh chi ti</w:t>
      </w:r>
      <w:r>
        <w:rPr>
          <w:rtl w:val="0"/>
        </w:rPr>
        <w:t>ế</w:t>
      </w:r>
      <w:r>
        <w:rPr>
          <w:rtl w:val="0"/>
          <w:lang w:val="fr-FR"/>
        </w:rPr>
        <w:t>t, ch</w:t>
      </w:r>
      <w:r>
        <w:rPr>
          <w:rtl w:val="0"/>
        </w:rPr>
        <w:t>í</w:t>
      </w:r>
      <w:r>
        <w:rPr>
          <w:rtl w:val="0"/>
          <w:lang w:val="pt-PT"/>
        </w:rPr>
        <w:t>nh x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  <w:lang w:val="pt-PT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5.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en-US"/>
        </w:rPr>
        <w:t>p trong 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t:</w:t>
      </w:r>
    </w:p>
    <w:p>
      <w:pPr>
        <w:pStyle w:val="Normal.0"/>
        <w:spacing w:before="120" w:after="100"/>
      </w:pPr>
      <w:r>
        <w:rPr>
          <w:rtl w:val="0"/>
        </w:rPr>
        <w:t>a)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trong 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b)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nl-NL"/>
        </w:rPr>
        <w:t>c trong vi</w:t>
      </w:r>
      <w:r>
        <w:rPr>
          <w:rtl w:val="0"/>
        </w:rPr>
        <w:t>ệ</w:t>
      </w:r>
      <w:r>
        <w:rPr>
          <w:rtl w:val="0"/>
        </w:rPr>
        <w:t>c m</w:t>
      </w:r>
      <w:r>
        <w:rPr>
          <w:rtl w:val="0"/>
        </w:rPr>
        <w:t>ờ</w:t>
      </w:r>
      <w:r>
        <w:rPr>
          <w:rtl w:val="0"/>
          <w:lang w:val="pt-PT"/>
        </w:rPr>
        <w:t>i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 đ</w:t>
      </w:r>
      <w:r>
        <w:rPr>
          <w:rtl w:val="0"/>
        </w:rPr>
        <w:t>ế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 thanh tra, ki</w:t>
      </w:r>
      <w:r>
        <w:rPr>
          <w:rtl w:val="0"/>
        </w:rPr>
        <w:t>ể</w:t>
      </w:r>
      <w:r>
        <w:rPr>
          <w:rtl w:val="0"/>
          <w:lang w:val="it-IT"/>
        </w:rPr>
        <w:t>m tra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fr-FR"/>
        </w:rPr>
        <w:t>c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ng,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6.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vi ph</w:t>
      </w:r>
      <w:r>
        <w:rPr>
          <w:rtl w:val="0"/>
        </w:rPr>
        <w:t>ạ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 xml:space="preserve">ng ty con,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7.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 xml:space="preserve">ng ty con,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8.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>nh x</w:t>
      </w:r>
      <w:r>
        <w:rPr>
          <w:rtl w:val="0"/>
        </w:rPr>
        <w:t>á</w:t>
      </w:r>
      <w:r>
        <w:rPr>
          <w:rtl w:val="0"/>
          <w:lang w:val="en-US"/>
        </w:rPr>
        <w:t>c, 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>ô</w:t>
      </w:r>
      <w:r>
        <w:rPr>
          <w:rtl w:val="0"/>
          <w:lang w:val="en-US"/>
        </w:rPr>
        <w:t>ng tin,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cung c</w:t>
      </w:r>
      <w:r>
        <w:rPr>
          <w:rtl w:val="0"/>
        </w:rPr>
        <w:t>ấ</w:t>
      </w:r>
      <w:r>
        <w:rPr>
          <w:rtl w:val="0"/>
        </w:rPr>
        <w:t xml:space="preserve">p cho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bookmarkStart w:name="dieu_24" w:id="4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24.</w:t>
      </w:r>
      <w:bookmarkEnd w:id="40"/>
      <w:r>
        <w:rPr>
          <w:b w:val="1"/>
          <w:bCs w:val="1"/>
          <w:rtl w:val="0"/>
        </w:rPr>
        <w:t xml:space="preserve"> </w:t>
      </w:r>
      <w:bookmarkStart w:name="dieu_24_name" w:id="41"/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  <w:lang w:val="fr-FR"/>
        </w:rPr>
        <w:t>u tr</w:t>
      </w:r>
      <w:r>
        <w:rPr>
          <w:rtl w:val="0"/>
        </w:rPr>
        <w:t xml:space="preserve">ữ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</w:t>
      </w:r>
      <w:bookmarkEnd w:id="41"/>
    </w:p>
    <w:p>
      <w:pPr>
        <w:pStyle w:val="Normal.0"/>
        <w:spacing w:before="120" w:after="100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  <w:lang w:val="fr-FR"/>
        </w:rPr>
        <w:t>u tr</w:t>
      </w:r>
      <w:r>
        <w:rPr>
          <w:rtl w:val="0"/>
        </w:rPr>
        <w:t xml:space="preserve">ữ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n, t</w:t>
      </w:r>
      <w:r>
        <w:rPr>
          <w:rtl w:val="0"/>
        </w:rPr>
        <w:t>ố</w:t>
      </w:r>
      <w:r>
        <w:rPr>
          <w:rtl w:val="0"/>
          <w:lang w:val="en-US"/>
        </w:rPr>
        <w:t>i thi</w:t>
      </w:r>
      <w:r>
        <w:rPr>
          <w:rtl w:val="0"/>
        </w:rPr>
        <w:t>ể</w:t>
      </w:r>
      <w:r>
        <w:rPr>
          <w:rtl w:val="0"/>
          <w:lang w:val="fr-FR"/>
        </w:rPr>
        <w:t>u ph</w:t>
      </w:r>
      <w:r>
        <w:rPr>
          <w:rtl w:val="0"/>
        </w:rPr>
        <w:t>ả</w:t>
      </w:r>
      <w:r>
        <w:rPr>
          <w:rtl w:val="0"/>
          <w:lang w:val="it-IT"/>
        </w:rPr>
        <w:t>i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  <w:lang w:val="en-US"/>
        </w:rPr>
        <w:t>ng tin sau:</w:t>
      </w:r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  <w:lang w:val="fr-FR"/>
        </w:rPr>
        <w:t>c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ơ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>ụ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  <w:lang w:val="en-US"/>
        </w:rPr>
        <w:t>2. Th</w:t>
      </w:r>
      <w:r>
        <w:rPr>
          <w:rtl w:val="0"/>
        </w:rPr>
        <w:t>ô</w:t>
      </w:r>
      <w:r>
        <w:rPr>
          <w:rtl w:val="0"/>
        </w:rPr>
        <w:t>ng tin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it-IT"/>
        </w:rPr>
        <w:t>c giao d</w:t>
      </w:r>
      <w:r>
        <w:rPr>
          <w:rtl w:val="0"/>
        </w:rPr>
        <w:t>ị</w:t>
      </w:r>
      <w:r>
        <w:rPr>
          <w:rtl w:val="0"/>
          <w:lang w:val="en-US"/>
        </w:rPr>
        <w:t>ch t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ơ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3.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>ch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>c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de-DE"/>
        </w:rPr>
        <w:t>nh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ơ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r>
        <w:rPr>
          <w:rtl w:val="0"/>
        </w:rPr>
        <w:t>4.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á</w:t>
      </w:r>
      <w:r>
        <w:rPr>
          <w:rtl w:val="0"/>
          <w:lang w:val="fr-FR"/>
        </w:rPr>
        <w:t>c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it-IT"/>
        </w:rPr>
        <w:t>ng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ơ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ch.</w:t>
      </w:r>
    </w:p>
    <w:p>
      <w:pPr>
        <w:pStyle w:val="Normal.0"/>
        <w:spacing w:before="120" w:after="100"/>
      </w:pPr>
      <w:bookmarkStart w:name="dieu_25" w:id="4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25.</w:t>
      </w:r>
      <w:bookmarkEnd w:id="42"/>
      <w:r>
        <w:rPr>
          <w:rtl w:val="0"/>
        </w:rPr>
        <w:t xml:space="preserve"> </w:t>
      </w:r>
      <w:bookmarkStart w:name="dieu_25_name" w:id="43"/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</w:t>
      </w:r>
      <w:bookmarkEnd w:id="43"/>
    </w:p>
    <w:p>
      <w:pPr>
        <w:pStyle w:val="Normal.0"/>
        <w:spacing w:before="120" w:after="100"/>
      </w:pPr>
      <w:r>
        <w:rPr>
          <w:rtl w:val="0"/>
          <w:lang w:val="en-US"/>
        </w:rPr>
        <w:t>1.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  <w:lang w:val="en-US"/>
        </w:rPr>
        <w:t>th</w:t>
      </w:r>
      <w:r>
        <w:rPr>
          <w:rtl w:val="0"/>
        </w:rPr>
        <w:t>á</w:t>
      </w:r>
      <w:r>
        <w:rPr>
          <w:rtl w:val="0"/>
          <w:lang w:val="en-US"/>
        </w:rPr>
        <w:t>ng,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>2.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>3. N</w:t>
      </w:r>
      <w:r>
        <w:rPr>
          <w:rtl w:val="0"/>
        </w:rPr>
        <w:t>ộ</w:t>
      </w:r>
      <w:r>
        <w:rPr>
          <w:rtl w:val="0"/>
          <w:lang w:val="de-DE"/>
        </w:rPr>
        <w:t>i dung,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en-US"/>
        </w:rPr>
        <w:t>p, chuy</w:t>
      </w:r>
      <w:r>
        <w:rPr>
          <w:rtl w:val="0"/>
        </w:rPr>
        <w:t>ể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en-US"/>
        </w:rPr>
        <w:t>ch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theo quy ch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bookmarkStart w:name="chuong_3" w:id="44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III</w:t>
      </w:r>
      <w:bookmarkEnd w:id="44"/>
    </w:p>
    <w:p>
      <w:pPr>
        <w:pStyle w:val="Normal.0"/>
        <w:spacing w:before="120" w:after="100"/>
        <w:jc w:val="center"/>
      </w:pPr>
      <w:bookmarkStart w:name="chuong_3_name" w:id="45"/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  <w:lang w:val="pt-PT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  <w:lang w:val="en-US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>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  <w:bookmarkEnd w:id="45"/>
    </w:p>
    <w:p>
      <w:pPr>
        <w:pStyle w:val="Normal.0"/>
        <w:spacing w:before="120" w:after="100"/>
      </w:pPr>
      <w:bookmarkStart w:name="dieu_26" w:id="4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26. 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  <w:lang w:val="en-US"/>
        </w:rPr>
        <w:t>cung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p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it-IT"/>
        </w:rPr>
        <w:t>i tr</w:t>
      </w:r>
      <w:r>
        <w:rPr>
          <w:b w:val="1"/>
          <w:bCs w:val="1"/>
          <w:rtl w:val="0"/>
          <w:lang w:val="it-IT"/>
        </w:rPr>
        <w:t>ì</w:t>
      </w:r>
      <w:r>
        <w:rPr>
          <w:b w:val="1"/>
          <w:bCs w:val="1"/>
          <w:rtl w:val="0"/>
          <w:lang w:val="en-US"/>
        </w:rPr>
        <w:t>nh theo y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u c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  <w:lang w:val="fr-FR"/>
        </w:rPr>
        <w:t>u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fr-FR"/>
        </w:rPr>
        <w:t>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pt-PT"/>
        </w:rPr>
        <w:t>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  <w:lang w:val="en-US"/>
        </w:rPr>
        <w:t>n tham gia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n, cung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  <w:lang w:val="pt-PT"/>
        </w:rPr>
        <w:t>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bookmarkEnd w:id="46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tham gia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n,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en-US"/>
        </w:rPr>
        <w:t>m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ch, c</w:t>
      </w:r>
      <w:r>
        <w:rPr>
          <w:rtl w:val="0"/>
        </w:rPr>
        <w:t xml:space="preserve">ơ </w:t>
      </w:r>
      <w:r>
        <w:rPr>
          <w:rtl w:val="0"/>
          <w:lang w:val="it-IT"/>
        </w:rPr>
        <w:t>quan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it-IT"/>
        </w:rPr>
        <w:t xml:space="preserve">t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tham gia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n-US"/>
        </w:rPr>
        <w:t>cung c</w:t>
      </w:r>
      <w:r>
        <w:rPr>
          <w:rtl w:val="0"/>
        </w:rPr>
        <w:t>ấ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  <w:lang w:val="fr-FR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u,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en-US"/>
        </w:rPr>
        <w:t>u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 xml:space="preserve">t Nam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t; gi</w:t>
      </w:r>
      <w:r>
        <w:rPr>
          <w:rtl w:val="0"/>
        </w:rPr>
        <w:t>ả</w:t>
      </w:r>
      <w:r>
        <w:rPr>
          <w:rtl w:val="0"/>
          <w:lang w:val="it-IT"/>
        </w:rPr>
        <w:t>i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 xml:space="preserve">ng ty con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ự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fr-FR"/>
        </w:rPr>
        <w:t>c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s-ES_tradnl"/>
        </w:rPr>
        <w:t>n cho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kh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it-IT"/>
        </w:rPr>
        <w:t>quan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cung c</w:t>
      </w:r>
      <w:r>
        <w:rPr>
          <w:rtl w:val="0"/>
        </w:rPr>
        <w:t>ấ</w:t>
      </w:r>
      <w:r>
        <w:rPr>
          <w:rtl w:val="0"/>
          <w:lang w:val="nl-NL"/>
        </w:rPr>
        <w:t>p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ư</w:t>
      </w:r>
      <w:r>
        <w:rPr>
          <w:rtl w:val="0"/>
          <w:lang w:val="it-IT"/>
        </w:rPr>
        <w:t>,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es-ES_tradnl"/>
        </w:rPr>
        <w:t>a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it-IT"/>
        </w:rPr>
        <w:t>quan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tham gia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n,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en-US"/>
        </w:rPr>
        <w:t>ng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s</w:t>
      </w:r>
      <w:r>
        <w:rPr>
          <w:rtl w:val="0"/>
        </w:rPr>
        <w:t xml:space="preserve">ẽ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chuong_4" w:id="47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IV</w:t>
      </w:r>
      <w:bookmarkEnd w:id="47"/>
    </w:p>
    <w:p>
      <w:pPr>
        <w:pStyle w:val="Normal.0"/>
        <w:spacing w:before="120" w:after="100"/>
        <w:jc w:val="center"/>
      </w:pPr>
      <w:bookmarkStart w:name="chuong_4_name" w:id="4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de-DE"/>
        </w:rPr>
        <w:t>N THI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NH</w:t>
      </w:r>
      <w:bookmarkEnd w:id="48"/>
    </w:p>
    <w:p>
      <w:pPr>
        <w:pStyle w:val="Normal.0"/>
        <w:spacing w:before="120" w:after="100"/>
      </w:pPr>
      <w:bookmarkStart w:name="dieu_27" w:id="4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27.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n thi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</w:t>
      </w:r>
      <w:bookmarkEnd w:id="49"/>
    </w:p>
    <w:p>
      <w:pPr>
        <w:pStyle w:val="Normal.0"/>
        <w:spacing w:before="120" w:after="100"/>
      </w:pPr>
      <w:r>
        <w:rPr>
          <w:rtl w:val="0"/>
          <w:lang w:val="en-US"/>
        </w:rPr>
        <w:t>1.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01 th</w:t>
      </w:r>
      <w:r>
        <w:rPr>
          <w:rtl w:val="0"/>
        </w:rPr>
        <w:t>á</w:t>
      </w:r>
      <w:r>
        <w:rPr>
          <w:rtl w:val="0"/>
          <w:lang w:val="da-DK"/>
        </w:rPr>
        <w:t>ng 01 n</w:t>
      </w:r>
      <w:r>
        <w:rPr>
          <w:rtl w:val="0"/>
        </w:rPr>
        <w:t>ă</w:t>
      </w:r>
      <w:r>
        <w:rPr>
          <w:rtl w:val="0"/>
        </w:rPr>
        <w:t>m 2021.</w:t>
      </w:r>
    </w:p>
    <w:p>
      <w:pPr>
        <w:pStyle w:val="Normal.0"/>
        <w:spacing w:before="120" w:after="100"/>
      </w:pPr>
      <w:bookmarkStart w:name="khoan_2_27" w:id="50"/>
      <w:r>
        <w:rPr>
          <w:rtl w:val="0"/>
        </w:rPr>
        <w:t>2.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en-US"/>
        </w:rPr>
        <w:t>c thi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nh,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115/2017/TT-BTC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25 th</w:t>
      </w:r>
      <w:r>
        <w:rPr>
          <w:rtl w:val="0"/>
        </w:rPr>
        <w:t>á</w:t>
      </w:r>
      <w:r>
        <w:rPr>
          <w:rtl w:val="0"/>
          <w:lang w:val="en-US"/>
        </w:rPr>
        <w:t>ng 10 n</w:t>
      </w:r>
      <w:r>
        <w:rPr>
          <w:rtl w:val="0"/>
        </w:rPr>
        <w:t>ă</w:t>
      </w:r>
      <w:r>
        <w:rPr>
          <w:rtl w:val="0"/>
          <w:lang w:val="pt-PT"/>
        </w:rPr>
        <w:t>m 2017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de-DE"/>
        </w:rPr>
        <w:t>nh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(sau </w:t>
      </w:r>
      <w:r>
        <w:rPr>
          <w:rtl w:val="0"/>
        </w:rPr>
        <w:t>đâ</w:t>
      </w:r>
      <w:r>
        <w:rPr>
          <w:rtl w:val="0"/>
          <w:lang w:val="en-US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115/2017/TT-BTC) v</w:t>
      </w:r>
      <w:r>
        <w:rPr>
          <w:rtl w:val="0"/>
          <w:lang w:val="fr-FR"/>
        </w:rPr>
        <w:t>à</w:t>
      </w:r>
      <w:bookmarkEnd w:id="50"/>
      <w:r>
        <w:rPr>
          <w:rtl w:val="0"/>
        </w:rPr>
        <w:t xml:space="preserve"> </w:t>
      </w:r>
      <w:bookmarkStart w:name="dc_1" w:id="51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35/2019/TT-BTC</w:t>
      </w:r>
      <w:bookmarkEnd w:id="51"/>
      <w:r>
        <w:rPr>
          <w:rtl w:val="0"/>
        </w:rPr>
        <w:t xml:space="preserve">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12 th</w:t>
      </w:r>
      <w:r>
        <w:rPr>
          <w:rtl w:val="0"/>
        </w:rPr>
        <w:t>á</w:t>
      </w:r>
      <w:r>
        <w:rPr>
          <w:rtl w:val="0"/>
        </w:rPr>
        <w:t>ng 6 n</w:t>
      </w:r>
      <w:r>
        <w:rPr>
          <w:rtl w:val="0"/>
        </w:rPr>
        <w:t>ă</w:t>
      </w:r>
      <w:r>
        <w:rPr>
          <w:rtl w:val="0"/>
          <w:lang w:val="pt-PT"/>
        </w:rPr>
        <w:t xml:space="preserve">m 2019 </w:t>
      </w:r>
      <w:bookmarkStart w:name="khoan_2_27_name" w:id="52"/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  <w:lang w:val="en-US"/>
        </w:rPr>
        <w:t>ng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pt-PT"/>
        </w:rPr>
        <w:t>nh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  <w:lang w:val="de-DE"/>
        </w:rPr>
        <w:t>sung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115/2017/TT-BTC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25 th</w:t>
      </w:r>
      <w:r>
        <w:rPr>
          <w:rtl w:val="0"/>
        </w:rPr>
        <w:t>á</w:t>
      </w:r>
      <w:r>
        <w:rPr>
          <w:rtl w:val="0"/>
          <w:lang w:val="en-US"/>
        </w:rPr>
        <w:t>ng 10 n</w:t>
      </w:r>
      <w:r>
        <w:rPr>
          <w:rtl w:val="0"/>
        </w:rPr>
        <w:t>ă</w:t>
      </w:r>
      <w:r>
        <w:rPr>
          <w:rtl w:val="0"/>
          <w:lang w:val="pt-PT"/>
        </w:rPr>
        <w:t>m 2017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tr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116/2017/TT-BTC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25 th</w:t>
      </w:r>
      <w:r>
        <w:rPr>
          <w:rtl w:val="0"/>
        </w:rPr>
        <w:t>á</w:t>
      </w:r>
      <w:r>
        <w:rPr>
          <w:rtl w:val="0"/>
          <w:lang w:val="en-US"/>
        </w:rPr>
        <w:t>ng 10 n</w:t>
      </w:r>
      <w:r>
        <w:rPr>
          <w:rtl w:val="0"/>
        </w:rPr>
        <w:t>ă</w:t>
      </w:r>
      <w:r>
        <w:rPr>
          <w:rtl w:val="0"/>
          <w:lang w:val="pt-PT"/>
        </w:rPr>
        <w:t>m 2017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fr-FR"/>
        </w:rPr>
        <w:t>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Ủ</w:t>
      </w:r>
      <w:r>
        <w:rPr>
          <w:rtl w:val="0"/>
          <w:lang w:val="es-ES_tradnl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trong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  <w:lang w:val="en-US"/>
        </w:rPr>
        <w:t>c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n, Trung t</w:t>
      </w:r>
      <w:r>
        <w:rPr>
          <w:rtl w:val="0"/>
        </w:rPr>
        <w:t>â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 xml:space="preserve">t Nam (sau </w:t>
      </w:r>
      <w:r>
        <w:rPr>
          <w:rtl w:val="0"/>
        </w:rPr>
        <w:t>đâ</w:t>
      </w:r>
      <w:r>
        <w:rPr>
          <w:rtl w:val="0"/>
          <w:lang w:val="en-US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35/2019/TT-BTC) h</w:t>
      </w:r>
      <w:r>
        <w:rPr>
          <w:rtl w:val="0"/>
        </w:rPr>
        <w:t>ế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en-US"/>
        </w:rPr>
        <w:t>c thi h</w:t>
      </w:r>
      <w:r>
        <w:rPr>
          <w:rtl w:val="0"/>
          <w:lang w:val="fr-FR"/>
        </w:rPr>
        <w:t>à</w:t>
      </w:r>
      <w:r>
        <w:rPr>
          <w:rtl w:val="0"/>
        </w:rPr>
        <w:t>nh.</w:t>
      </w:r>
      <w:bookmarkEnd w:id="52"/>
    </w:p>
    <w:p>
      <w:pPr>
        <w:pStyle w:val="Normal.0"/>
        <w:spacing w:before="120" w:after="100"/>
      </w:pPr>
      <w:r>
        <w:rPr>
          <w:rtl w:val="0"/>
        </w:rPr>
        <w:t>3.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Ch</w:t>
      </w:r>
      <w:r>
        <w:rPr>
          <w:rtl w:val="0"/>
        </w:rPr>
        <w:t xml:space="preserve">í </w:t>
      </w:r>
      <w:r>
        <w:rPr>
          <w:rtl w:val="0"/>
          <w:lang w:val="de-DE"/>
        </w:rPr>
        <w:t>Minh, Trung t</w:t>
      </w:r>
      <w:r>
        <w:rPr>
          <w:rtl w:val="0"/>
        </w:rPr>
        <w:t>â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ti</w:t>
      </w:r>
      <w:r>
        <w:rPr>
          <w:rtl w:val="0"/>
        </w:rPr>
        <w:t>ế</w:t>
      </w:r>
      <w:r>
        <w:rPr>
          <w:rtl w:val="0"/>
          <w:lang w:val="nl-NL"/>
        </w:rPr>
        <w:t>p t</w:t>
      </w:r>
      <w:r>
        <w:rPr>
          <w:rtl w:val="0"/>
        </w:rPr>
        <w:t>ụ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sv-SE"/>
        </w:rPr>
        <w:t>ch ti</w:t>
      </w:r>
      <w:r>
        <w:rPr>
          <w:rtl w:val="0"/>
        </w:rPr>
        <w:t>ế</w:t>
      </w:r>
      <w:r>
        <w:rPr>
          <w:rtl w:val="0"/>
          <w:lang w:val="nl-NL"/>
        </w:rPr>
        <w:t>p t</w:t>
      </w:r>
      <w:r>
        <w:rPr>
          <w:rtl w:val="0"/>
        </w:rPr>
        <w:t>ụ</w:t>
      </w:r>
      <w:r>
        <w:rPr>
          <w:rtl w:val="0"/>
          <w:lang w:val="en-US"/>
        </w:rPr>
        <w:t>c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s-ES_tradnl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pt-PT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en-US"/>
        </w:rPr>
        <w:t xml:space="preserve">ch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115/2017/TT-BTC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35/2019/TT-BTC cho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khi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theo Lu</w:t>
      </w:r>
      <w:r>
        <w:rPr>
          <w:rtl w:val="0"/>
        </w:rPr>
        <w:t>ậ</w:t>
      </w:r>
      <w:r>
        <w:rPr>
          <w:rtl w:val="0"/>
          <w:lang w:val="fr-FR"/>
        </w:rPr>
        <w:t>t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54/2019/QH14.</w:t>
      </w:r>
    </w:p>
    <w:p>
      <w:pPr>
        <w:pStyle w:val="Normal.0"/>
        <w:spacing w:before="120" w:after="100"/>
      </w:pPr>
      <w:r>
        <w:rPr>
          <w:rtl w:val="0"/>
        </w:rPr>
        <w:t>4.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  <w:lang w:val="en-US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sau khi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  <w:lang w:val="en-US"/>
        </w:rPr>
        <w:t>thanh to</w:t>
      </w:r>
      <w:r>
        <w:rPr>
          <w:rtl w:val="0"/>
        </w:rPr>
        <w:t>á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  <w:lang w:val="de-DE"/>
        </w:rPr>
        <w:t>trung t</w:t>
      </w:r>
      <w:r>
        <w:rPr>
          <w:rtl w:val="0"/>
        </w:rPr>
        <w:t>â</w:t>
      </w:r>
      <w:r>
        <w:rPr>
          <w:rtl w:val="0"/>
        </w:rPr>
        <w:t>m.</w:t>
      </w:r>
    </w:p>
    <w:p>
      <w:pPr>
        <w:pStyle w:val="Normal.0"/>
        <w:spacing w:before="120" w:after="100"/>
      </w:pPr>
      <w:bookmarkStart w:name="dieu_28" w:id="5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28.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en-US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</w:t>
      </w:r>
      <w:bookmarkEnd w:id="53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i, S</w:t>
      </w:r>
      <w:r>
        <w:rPr>
          <w:rtl w:val="0"/>
        </w:rPr>
        <w:t xml:space="preserve">ở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Ch</w:t>
      </w:r>
      <w:r>
        <w:rPr>
          <w:rtl w:val="0"/>
        </w:rPr>
        <w:t xml:space="preserve">í </w:t>
      </w:r>
      <w:r>
        <w:rPr>
          <w:rtl w:val="0"/>
          <w:lang w:val="pt-PT"/>
        </w:rPr>
        <w:t>Minh,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t Nam,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en-US"/>
        </w:rPr>
        <w:t>ch, 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ni</w:t>
      </w:r>
      <w:r>
        <w:rPr>
          <w:rtl w:val="0"/>
          <w:lang w:val="fr-FR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pt-PT"/>
        </w:rPr>
        <w:t>giao d</w:t>
      </w:r>
      <w:r>
        <w:rPr>
          <w:rtl w:val="0"/>
        </w:rPr>
        <w:t>ị</w:t>
      </w:r>
      <w:r>
        <w:rPr>
          <w:rtl w:val="0"/>
        </w:rPr>
        <w:t>ch, c</w:t>
      </w:r>
      <w:r>
        <w:rPr>
          <w:rtl w:val="0"/>
        </w:rPr>
        <w:t>ô</w:t>
      </w:r>
      <w:r>
        <w:rPr>
          <w:rtl w:val="0"/>
          <w:lang w:val="en-US"/>
        </w:rPr>
        <w:t>ng ty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fr-FR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s-ES_tradnl"/>
        </w:rPr>
        <w:t>n, 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n, c</w:t>
      </w:r>
      <w:r>
        <w:rPr>
          <w:rtl w:val="0"/>
        </w:rPr>
        <w:t>ô</w:t>
      </w:r>
      <w:r>
        <w:rPr>
          <w:rtl w:val="0"/>
          <w:lang w:val="sv-SE"/>
        </w:rPr>
        <w:t xml:space="preserve">ng ty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en-US"/>
        </w:rPr>
        <w:t>m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 xml:space="preserve">ư </w:t>
      </w:r>
      <w:r>
        <w:rPr>
          <w:rtl w:val="0"/>
        </w:rPr>
        <w:t>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  <w:lang w:val="en-US"/>
        </w:rPr>
        <w:t>2.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n,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ng m</w:t>
      </w:r>
      <w:r>
        <w:rPr>
          <w:rtl w:val="0"/>
        </w:rPr>
        <w:t>ắ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de-DE"/>
        </w:rPr>
        <w:t>nh k</w:t>
      </w:r>
      <w:r>
        <w:rPr>
          <w:rtl w:val="0"/>
        </w:rPr>
        <w:t>ị</w:t>
      </w:r>
      <w:r>
        <w:rPr>
          <w:rtl w:val="0"/>
          <w:lang w:val="en-US"/>
        </w:rPr>
        <w:t>p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í</w:t>
      </w:r>
      <w:r>
        <w:rPr>
          <w:rtl w:val="0"/>
          <w:lang w:val="it-IT"/>
        </w:rPr>
        <w:t>nh nghi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ứ</w:t>
      </w:r>
      <w:r>
        <w:rPr>
          <w:rtl w:val="0"/>
        </w:rPr>
        <w:t>u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  <w:lang w:val="en-US"/>
        </w:rPr>
        <w:t>sung cho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p./.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35"/>
        <w:gridCol w:w="3905"/>
      </w:tblGrid>
      <w:tr>
        <w:tblPrEx>
          <w:shd w:val="clear" w:color="auto" w:fill="ced7e7"/>
        </w:tblPrEx>
        <w:trPr>
          <w:trHeight w:val="3913" w:hRule="atLeast"/>
        </w:trPr>
        <w:tc>
          <w:tcPr>
            <w:tcW w:type="dxa" w:w="47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quan TW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ND,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nh, th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tin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m tra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(B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p);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tin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ộ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tin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ử Ủ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y ban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ứ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kho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u: VT, UBCK, (100b).</w:t>
            </w:r>
          </w:p>
        </w:tc>
        <w:tc>
          <w:tcPr>
            <w:tcW w:type="dxa" w:w="3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KT. 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Ộ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ƯỞ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Ứ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ƯỞ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ỳ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nh Quang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" w:id="54"/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I</w:t>
      </w:r>
      <w:bookmarkEnd w:id="54"/>
    </w:p>
    <w:p>
      <w:pPr>
        <w:pStyle w:val="Normal.0"/>
        <w:spacing w:before="120" w:after="100"/>
        <w:jc w:val="center"/>
      </w:pPr>
      <w:bookmarkStart w:name="chuong_pl_1_name" w:id="55"/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GIAO D</w:t>
      </w:r>
      <w:r>
        <w:rPr>
          <w:rtl w:val="0"/>
        </w:rPr>
        <w:t>Ị</w:t>
      </w:r>
      <w:r>
        <w:rPr>
          <w:rtl w:val="0"/>
        </w:rPr>
        <w:t>CH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TY CON</w:t>
      </w:r>
      <w:bookmarkEnd w:id="55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</w:rPr>
        <w:t>(Ban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>m theo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95/2020/TT-BTC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16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2020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nh)</w:t>
      </w:r>
    </w:p>
    <w:p>
      <w:pPr>
        <w:pStyle w:val="Normal.0"/>
        <w:spacing w:before="120" w:after="100"/>
      </w:pPr>
      <w:bookmarkStart w:name="chuong_pl_2" w:id="56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01: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tu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</w:t>
      </w:r>
      <w:bookmarkEnd w:id="56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GIAO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    </w:t>
            </w:r>
            <w:r>
              <w:rPr>
                <w:shd w:val="nil" w:color="auto" w:fill="auto"/>
                <w:rtl w:val="0"/>
              </w:rPr>
              <w:t>/BC-.....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......,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.....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ng .....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.....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  <w:lang w:val="it-IT"/>
        </w:rPr>
        <w:t>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en-US"/>
        </w:rPr>
        <w:t>ch tu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 ...../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m....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  <w:lang w:val="de-DE"/>
        </w:rPr>
        <w:t>nh g</w:t>
      </w:r>
      <w:r>
        <w:rPr>
          <w:rtl w:val="0"/>
        </w:rPr>
        <w:t>ử</w:t>
      </w:r>
      <w:r>
        <w:rPr>
          <w:rtl w:val="0"/>
          <w:lang w:val="it-IT"/>
        </w:rPr>
        <w:t>i: .......................................................</w:t>
      </w:r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>c 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trong tu</w:t>
      </w:r>
      <w:r>
        <w:rPr>
          <w:rtl w:val="0"/>
        </w:rPr>
        <w:t>ầ</w:t>
      </w:r>
      <w:r>
        <w:rPr>
          <w:rtl w:val="0"/>
        </w:rPr>
        <w:t>n ...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"/>
        <w:gridCol w:w="1477"/>
        <w:gridCol w:w="1306"/>
        <w:gridCol w:w="1203"/>
        <w:gridCol w:w="1325"/>
        <w:gridCol w:w="1329"/>
        <w:gridCol w:w="1476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2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TT</w:t>
            </w:r>
          </w:p>
        </w:tc>
        <w:tc>
          <w:tcPr>
            <w:tcW w:type="dxa" w:w="147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pt-PT"/>
              </w:rPr>
              <w:t>nh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o theo ti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fr-FR"/>
              </w:rPr>
              <w:t>u ch</w:t>
            </w:r>
            <w:r>
              <w:rPr>
                <w:shd w:val="nil" w:color="auto" w:fill="auto"/>
                <w:rtl w:val="0"/>
              </w:rPr>
              <w:t>í</w:t>
            </w:r>
          </w:p>
        </w:tc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b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n-US"/>
              </w:rPr>
              <w:t>t th</w:t>
            </w:r>
            <w:r>
              <w:rPr>
                <w:shd w:val="nil" w:color="auto" w:fill="auto"/>
                <w:rtl w:val="0"/>
              </w:rPr>
              <w:t>ườ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132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it-IT"/>
              </w:rPr>
              <w:t>y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132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đầ</w:t>
            </w:r>
            <w:r>
              <w:rPr>
                <w:shd w:val="nil" w:color="auto" w:fill="auto"/>
                <w:rtl w:val="0"/>
              </w:rPr>
              <w:t>u x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it-IT"/>
              </w:rPr>
              <w:t>ì</w:t>
            </w:r>
            <w:r>
              <w:rPr>
                <w:shd w:val="nil" w:color="auto" w:fill="auto"/>
                <w:rtl w:val="0"/>
                <w:lang w:val="sv-SE"/>
              </w:rPr>
              <w:t>nh tr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ng x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ý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"/>
        <w:gridCol w:w="1477"/>
        <w:gridCol w:w="1306"/>
        <w:gridCol w:w="1203"/>
        <w:gridCol w:w="1325"/>
        <w:gridCol w:w="1329"/>
        <w:gridCol w:w="147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3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13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13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2.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 xml:space="preserve">ỷ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ọ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phi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 th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n trong r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ố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6"/>
        <w:gridCol w:w="1441"/>
        <w:gridCol w:w="1253"/>
        <w:gridCol w:w="838"/>
        <w:gridCol w:w="1495"/>
        <w:gridCol w:w="1727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88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y/ m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i w:val="1"/>
                <w:iCs w:val="1"/>
                <w:shd w:val="nil" w:color="auto" w:fill="auto"/>
                <w:rtl w:val="0"/>
              </w:rPr>
              <w:t>ch</w:t>
            </w:r>
            <w:r>
              <w:rPr>
                <w:i w:val="1"/>
                <w:iCs w:val="1"/>
                <w:shd w:val="nil" w:color="auto" w:fill="auto"/>
                <w:rtl w:val="0"/>
              </w:rPr>
              <w:t>ứ</w:t>
            </w:r>
            <w:r>
              <w:rPr>
                <w:i w:val="1"/>
                <w:i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ổ 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phi</w:t>
            </w:r>
            <w:r>
              <w:rPr>
                <w:i w:val="1"/>
                <w:iCs w:val="1"/>
                <w:shd w:val="nil" w:color="auto" w:fill="auto"/>
                <w:rtl w:val="0"/>
              </w:rPr>
              <w:t>ế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u 1</w:t>
            </w:r>
          </w:p>
        </w:tc>
        <w:tc>
          <w:tcPr>
            <w:tcW w:type="dxa" w:w="12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ổ 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phi</w:t>
            </w:r>
            <w:r>
              <w:rPr>
                <w:i w:val="1"/>
                <w:iCs w:val="1"/>
                <w:shd w:val="nil" w:color="auto" w:fill="auto"/>
                <w:rtl w:val="0"/>
              </w:rPr>
              <w:t>ế</w:t>
            </w:r>
            <w:r>
              <w:rPr>
                <w:i w:val="1"/>
                <w:iCs w:val="1"/>
                <w:shd w:val="nil" w:color="auto" w:fill="auto"/>
                <w:rtl w:val="0"/>
              </w:rPr>
              <w:t>u 2</w:t>
            </w:r>
          </w:p>
        </w:tc>
        <w:tc>
          <w:tcPr>
            <w:tcW w:type="dxa" w:w="8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.....</w:t>
            </w:r>
          </w:p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ổ 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phi</w:t>
            </w:r>
            <w:r>
              <w:rPr>
                <w:i w:val="1"/>
                <w:iCs w:val="1"/>
                <w:shd w:val="nil" w:color="auto" w:fill="auto"/>
                <w:rtl w:val="0"/>
              </w:rPr>
              <w:t>ế</w:t>
            </w:r>
            <w:r>
              <w:rPr>
                <w:i w:val="1"/>
                <w:iCs w:val="1"/>
                <w:shd w:val="nil" w:color="auto" w:fill="auto"/>
                <w:rtl w:val="0"/>
              </w:rPr>
              <w:t>u 29</w:t>
            </w:r>
          </w:p>
        </w:tc>
        <w:tc>
          <w:tcPr>
            <w:tcW w:type="dxa" w:w="17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ổ 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phi</w:t>
            </w:r>
            <w:r>
              <w:rPr>
                <w:i w:val="1"/>
                <w:iCs w:val="1"/>
                <w:shd w:val="nil" w:color="auto" w:fill="auto"/>
                <w:rtl w:val="0"/>
              </w:rPr>
              <w:t>ế</w:t>
            </w:r>
            <w:r>
              <w:rPr>
                <w:i w:val="1"/>
                <w:iCs w:val="1"/>
                <w:shd w:val="nil" w:color="auto" w:fill="auto"/>
                <w:rtl w:val="0"/>
              </w:rPr>
              <w:t>u 30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6"/>
        <w:gridCol w:w="1441"/>
        <w:gridCol w:w="1253"/>
        <w:gridCol w:w="838"/>
        <w:gridCol w:w="1495"/>
        <w:gridCol w:w="172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8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12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3</w:t>
            </w:r>
          </w:p>
        </w:tc>
        <w:tc>
          <w:tcPr>
            <w:tcW w:type="dxa" w:w="8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7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6"/>
        <w:gridCol w:w="1441"/>
        <w:gridCol w:w="1253"/>
        <w:gridCol w:w="838"/>
        <w:gridCol w:w="1495"/>
        <w:gridCol w:w="172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7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  <w:lang w:val="it-IT"/>
        </w:rPr>
        <w:t>Ghi ch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- D</w:t>
      </w:r>
      <w:r>
        <w:rPr>
          <w:rtl w:val="0"/>
        </w:rPr>
        <w:t>ấ</w:t>
      </w:r>
      <w:r>
        <w:rPr>
          <w:rtl w:val="0"/>
          <w:lang w:val="es-ES_tradnl"/>
        </w:rPr>
        <w:t>u hi</w:t>
      </w:r>
      <w:r>
        <w:rPr>
          <w:rtl w:val="0"/>
        </w:rPr>
        <w:t>ệ</w:t>
      </w:r>
      <w:r>
        <w:rPr>
          <w:rtl w:val="0"/>
          <w:lang w:val="it-IT"/>
        </w:rPr>
        <w:t>u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ng: theo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ti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pt-PT"/>
        </w:rPr>
        <w:t>ng do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</w:rPr>
        <w:t>t Nam ban 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- Bi</w:t>
      </w:r>
      <w:r>
        <w:rPr>
          <w:rtl w:val="0"/>
        </w:rPr>
        <w:t>ể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s-ES_tradnl"/>
        </w:rPr>
        <w:t>o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tu</w:t>
      </w:r>
      <w:r>
        <w:rPr>
          <w:rtl w:val="0"/>
        </w:rPr>
        <w:t>ầ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7"/>
        <w:gridCol w:w="4323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3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Nh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u: VT,(...b)</w:t>
            </w:r>
          </w:p>
        </w:tc>
        <w:tc>
          <w:tcPr>
            <w:tcW w:type="dxa" w:w="4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GI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M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GIAO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v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ghi r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bookmarkStart w:name="chuong_pl_3" w:id="57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02.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th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ng</w:t>
      </w:r>
      <w:bookmarkEnd w:id="57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GIAO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    </w:t>
            </w:r>
            <w:r>
              <w:rPr>
                <w:shd w:val="nil" w:color="auto" w:fill="auto"/>
                <w:rtl w:val="0"/>
              </w:rPr>
              <w:t>/BC-....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......,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.....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ng .....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.....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  <w:lang w:val="it-IT"/>
        </w:rPr>
        <w:t>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en-US"/>
        </w:rPr>
        <w:t>ch th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ng ....../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m......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  <w:lang w:val="de-DE"/>
        </w:rPr>
        <w:t>nh g</w:t>
      </w:r>
      <w:r>
        <w:rPr>
          <w:rtl w:val="0"/>
        </w:rPr>
        <w:t>ử</w:t>
      </w:r>
      <w:r>
        <w:rPr>
          <w:rtl w:val="0"/>
          <w:lang w:val="it-IT"/>
        </w:rPr>
        <w:t>i: ........................................................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I.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t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en-US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  <w:lang w:val="en-US"/>
        </w:rPr>
        <w:t>y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i).</w:t>
      </w:r>
    </w:p>
    <w:p>
      <w:pPr>
        <w:pStyle w:val="Normal.0"/>
        <w:spacing w:before="120" w:after="100"/>
      </w:pPr>
      <w:r>
        <w:rPr>
          <w:rtl w:val="0"/>
        </w:rPr>
        <w:t>2.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nh, b</w:t>
      </w:r>
      <w:r>
        <w:rPr>
          <w:rtl w:val="0"/>
        </w:rPr>
        <w:t xml:space="preserve">ổ </w:t>
      </w:r>
      <w:r>
        <w:rPr>
          <w:rtl w:val="0"/>
          <w:lang w:val="de-DE"/>
        </w:rPr>
        <w:t>sung,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es-ES_tradnl"/>
        </w:rPr>
        <w:t>c quy ch</w:t>
      </w:r>
      <w:r>
        <w:rPr>
          <w:rtl w:val="0"/>
        </w:rPr>
        <w:t>ế</w:t>
      </w:r>
      <w:r>
        <w:rPr>
          <w:rtl w:val="0"/>
          <w:lang w:val="es-ES_tradnl"/>
        </w:rPr>
        <w:t xml:space="preserve">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s-ES_tradnl"/>
        </w:rPr>
        <w:t>nh, quy tr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>ỳ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5.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en-US"/>
        </w:rPr>
        <w:t>c trong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6.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fr-FR"/>
        </w:rPr>
        <w:t>u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II.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nl-NL"/>
        </w:rPr>
        <w:t>ng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  <w:lang w:val="en-US"/>
        </w:rPr>
        <w:t>ang tri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n khai</w:t>
      </w:r>
    </w:p>
    <w:p>
      <w:pPr>
        <w:pStyle w:val="Normal.0"/>
        <w:spacing w:before="120" w:after="100"/>
        <w:jc w:val="center"/>
      </w:pPr>
      <w:r>
        <w:rPr>
          <w:i w:val="1"/>
          <w:iCs w:val="1"/>
          <w:rtl w:val="0"/>
        </w:rPr>
        <w:t>Bi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u 1.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o t</w:t>
      </w:r>
      <w:r>
        <w:rPr>
          <w:i w:val="1"/>
          <w:iCs w:val="1"/>
          <w:rtl w:val="0"/>
          <w:lang w:val="it-IT"/>
        </w:rPr>
        <w:t>ì</w:t>
      </w:r>
      <w:r>
        <w:rPr>
          <w:i w:val="1"/>
          <w:iCs w:val="1"/>
          <w:rtl w:val="0"/>
          <w:lang w:val="de-DE"/>
        </w:rPr>
        <w:t>nh h</w:t>
      </w:r>
      <w:r>
        <w:rPr>
          <w:i w:val="1"/>
          <w:iCs w:val="1"/>
          <w:rtl w:val="0"/>
          <w:lang w:val="it-IT"/>
        </w:rPr>
        <w:t>ì</w:t>
      </w:r>
      <w:r>
        <w:rPr>
          <w:i w:val="1"/>
          <w:iCs w:val="1"/>
          <w:rtl w:val="0"/>
          <w:lang w:val="pt-PT"/>
        </w:rPr>
        <w:t>nh x</w:t>
      </w:r>
      <w:r>
        <w:rPr>
          <w:i w:val="1"/>
          <w:iCs w:val="1"/>
          <w:rtl w:val="0"/>
        </w:rPr>
        <w:t xml:space="preserve">ử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c d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  <w:lang w:val="es-ES_tradnl"/>
        </w:rPr>
        <w:t>u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  <w:lang w:val="it-IT"/>
        </w:rPr>
        <w:t>u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  <w:lang w:val="de-DE"/>
        </w:rPr>
        <w:t>ch b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  <w:lang w:val="en-US"/>
        </w:rPr>
        <w:t>t th</w:t>
      </w:r>
      <w:r>
        <w:rPr>
          <w:i w:val="1"/>
          <w:iCs w:val="1"/>
          <w:rtl w:val="0"/>
        </w:rPr>
        <w:t>ườ</w:t>
      </w:r>
      <w:r>
        <w:rPr>
          <w:i w:val="1"/>
          <w:iCs w:val="1"/>
          <w:rtl w:val="0"/>
          <w:lang w:val="en-US"/>
        </w:rPr>
        <w:t>ng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"/>
        <w:gridCol w:w="985"/>
        <w:gridCol w:w="883"/>
        <w:gridCol w:w="1118"/>
        <w:gridCol w:w="853"/>
        <w:gridCol w:w="860"/>
        <w:gridCol w:w="625"/>
        <w:gridCol w:w="1005"/>
        <w:gridCol w:w="724"/>
        <w:gridCol w:w="1068"/>
      </w:tblGrid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5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TT</w:t>
            </w:r>
          </w:p>
        </w:tc>
        <w:tc>
          <w:tcPr>
            <w:tcW w:type="dxa" w:w="98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pt-PT"/>
              </w:rPr>
              <w:t>nh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o theo ti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fr-FR"/>
              </w:rPr>
              <w:t>u ch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m s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</w:t>
            </w:r>
          </w:p>
        </w:tc>
        <w:tc>
          <w:tcPr>
            <w:tcW w:type="dxa" w:w="88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b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n-US"/>
              </w:rPr>
              <w:t>t th</w:t>
            </w:r>
            <w:r>
              <w:rPr>
                <w:shd w:val="nil" w:color="auto" w:fill="auto"/>
                <w:rtl w:val="0"/>
              </w:rPr>
              <w:t>ườ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1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c/c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 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  <w:lang w:val="en-US"/>
              </w:rPr>
              <w:t>c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i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8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62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y GD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đầ</w:t>
            </w:r>
            <w:r>
              <w:rPr>
                <w:shd w:val="nil" w:color="auto" w:fill="auto"/>
                <w:rtl w:val="0"/>
              </w:rPr>
              <w:t xml:space="preserve">u 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106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it-IT"/>
              </w:rPr>
              <w:t>ì</w:t>
            </w:r>
            <w:r>
              <w:rPr>
                <w:shd w:val="nil" w:color="auto" w:fill="auto"/>
                <w:rtl w:val="0"/>
                <w:lang w:val="sv-SE"/>
              </w:rPr>
              <w:t>nh tr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ng x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ý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"/>
        <w:gridCol w:w="985"/>
        <w:gridCol w:w="883"/>
        <w:gridCol w:w="1118"/>
        <w:gridCol w:w="853"/>
        <w:gridCol w:w="860"/>
        <w:gridCol w:w="625"/>
        <w:gridCol w:w="1005"/>
        <w:gridCol w:w="724"/>
        <w:gridCol w:w="106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1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1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Ghi ch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: D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u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b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t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ng: theo H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ng ti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 ch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gi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b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t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do SGDCK Vi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t Nam 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III.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Nam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ty con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Nam</w:t>
      </w:r>
    </w:p>
    <w:p>
      <w:pPr>
        <w:pStyle w:val="Normal.0"/>
        <w:spacing w:before="120" w:after="100"/>
      </w:pPr>
      <w:r>
        <w:rPr>
          <w:rtl w:val="0"/>
        </w:rPr>
        <w:t>1.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Bi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u 1.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vi vi ph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2"/>
        <w:gridCol w:w="1646"/>
        <w:gridCol w:w="950"/>
        <w:gridCol w:w="954"/>
        <w:gridCol w:w="946"/>
        <w:gridCol w:w="955"/>
        <w:gridCol w:w="1293"/>
        <w:gridCol w:w="1263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TT</w:t>
            </w:r>
          </w:p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c/c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  <w:lang w:val="sv-SE"/>
              </w:rPr>
              <w:t>n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pt-PT"/>
              </w:rPr>
              <w:t>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i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n CTCK 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  <w:lang w:val="en-US"/>
              </w:rPr>
              <w:t>c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de-DE"/>
              </w:rPr>
              <w:t>n GD</w:t>
            </w:r>
          </w:p>
        </w:tc>
        <w:tc>
          <w:tcPr>
            <w:tcW w:type="dxa" w:w="94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y GD</w:t>
            </w:r>
          </w:p>
        </w:tc>
        <w:tc>
          <w:tcPr>
            <w:tcW w:type="dxa" w:w="12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126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  <w:lang w:val="it-IT"/>
              </w:rPr>
              <w:t>ì</w:t>
            </w:r>
            <w:r>
              <w:rPr>
                <w:shd w:val="nil" w:color="auto" w:fill="auto"/>
                <w:rtl w:val="0"/>
                <w:lang w:val="en-US"/>
              </w:rPr>
              <w:t>nh th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x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ý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2"/>
        <w:gridCol w:w="1646"/>
        <w:gridCol w:w="950"/>
        <w:gridCol w:w="954"/>
        <w:gridCol w:w="946"/>
        <w:gridCol w:w="955"/>
        <w:gridCol w:w="1293"/>
        <w:gridCol w:w="126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94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12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126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2"/>
        <w:gridCol w:w="1646"/>
        <w:gridCol w:w="950"/>
        <w:gridCol w:w="954"/>
        <w:gridCol w:w="946"/>
        <w:gridCol w:w="955"/>
        <w:gridCol w:w="1293"/>
        <w:gridCol w:w="126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2.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t,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</w:t>
      </w:r>
    </w:p>
    <w:p>
      <w:pPr>
        <w:pStyle w:val="Normal.0"/>
        <w:spacing w:before="120" w:after="100"/>
      </w:pPr>
      <w:r>
        <w:rPr>
          <w:rtl w:val="0"/>
        </w:rPr>
        <w:t>-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(ph</w:t>
      </w:r>
      <w:r>
        <w:rPr>
          <w:rtl w:val="0"/>
        </w:rPr>
        <w:t>â</w:t>
      </w:r>
      <w:r>
        <w:rPr>
          <w:rtl w:val="0"/>
        </w:rPr>
        <w:t>n lo</w:t>
      </w:r>
      <w:r>
        <w:rPr>
          <w:rtl w:val="0"/>
        </w:rPr>
        <w:t>ạ</w:t>
      </w:r>
      <w:r>
        <w:rPr>
          <w:rtl w:val="0"/>
        </w:rPr>
        <w:t>i theo ti</w:t>
      </w:r>
      <w:r>
        <w:rPr>
          <w:rtl w:val="0"/>
        </w:rPr>
        <w:t>ê</w:t>
      </w:r>
      <w:r>
        <w:rPr>
          <w:rtl w:val="0"/>
        </w:rPr>
        <w:t>u ch</w:t>
      </w:r>
      <w:r>
        <w:rPr>
          <w:rtl w:val="0"/>
        </w:rPr>
        <w:t xml:space="preserve">í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b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do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ban h</w:t>
      </w:r>
      <w:r>
        <w:rPr>
          <w:rtl w:val="0"/>
        </w:rPr>
        <w:t>à</w:t>
      </w:r>
      <w:r>
        <w:rPr>
          <w:rtl w:val="0"/>
        </w:rPr>
        <w:t>nh).</w:t>
      </w:r>
    </w:p>
    <w:p>
      <w:pPr>
        <w:pStyle w:val="Normal.0"/>
        <w:spacing w:before="120" w:after="100"/>
      </w:pPr>
      <w:r>
        <w:rPr>
          <w:rtl w:val="0"/>
        </w:rPr>
        <w:t>-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ề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do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ty con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>m (theo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n).</w:t>
      </w:r>
    </w:p>
    <w:p>
      <w:pPr>
        <w:pStyle w:val="Normal.0"/>
        <w:spacing w:before="120" w:after="100"/>
      </w:pPr>
      <w:r>
        <w:rPr>
          <w:rtl w:val="0"/>
        </w:rPr>
        <w:t>-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ki</w:t>
      </w:r>
      <w:r>
        <w:rPr>
          <w:rtl w:val="0"/>
        </w:rPr>
        <w:t>ế</w:t>
      </w:r>
      <w:r>
        <w:rPr>
          <w:rtl w:val="0"/>
        </w:rPr>
        <w:t>n ngh</w:t>
      </w:r>
      <w:r>
        <w:rPr>
          <w:rtl w:val="0"/>
        </w:rPr>
        <w:t>ị Ủ</w:t>
      </w:r>
      <w:r>
        <w:rPr>
          <w:rtl w:val="0"/>
        </w:rPr>
        <w:t>y ban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IV. Ki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ngh</w:t>
      </w:r>
      <w:r>
        <w:rPr>
          <w:b w:val="1"/>
          <w:bCs w:val="1"/>
          <w:rtl w:val="0"/>
        </w:rPr>
        <w:t>ị</w:t>
      </w:r>
    </w:p>
    <w:p>
      <w:pPr>
        <w:pStyle w:val="Normal.0"/>
        <w:spacing w:before="120" w:after="100"/>
      </w:pPr>
      <w:r>
        <w:rPr>
          <w:rtl w:val="0"/>
        </w:rPr>
        <w:t>1.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</w:p>
    <w:p>
      <w:pPr>
        <w:pStyle w:val="Normal.0"/>
        <w:spacing w:before="120" w:after="100"/>
      </w:pPr>
      <w:r>
        <w:rPr>
          <w:rtl w:val="0"/>
        </w:rPr>
        <w:t>2.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 xml:space="preserve">ị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7"/>
        <w:gridCol w:w="4983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6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Nh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u: VT, (...b).</w:t>
            </w:r>
          </w:p>
        </w:tc>
        <w:tc>
          <w:tcPr>
            <w:tcW w:type="dxa" w:w="49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GI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M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GIAO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v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ghi r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bookmarkStart w:name="chuong_pl_4" w:id="58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03.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ch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……</w:t>
      </w:r>
      <w:r>
        <w:rPr>
          <w:b w:val="1"/>
          <w:bCs w:val="1"/>
          <w:rtl w:val="0"/>
        </w:rPr>
        <w:t>.</w:t>
      </w:r>
      <w:bookmarkEnd w:id="58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GIAO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4294967147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    </w:t>
            </w:r>
            <w:r>
              <w:rPr>
                <w:shd w:val="nil" w:color="auto" w:fill="auto"/>
                <w:rtl w:val="0"/>
              </w:rPr>
              <w:t>/BC-....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......,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.....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ng .....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.....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  <w:lang w:val="it-IT"/>
        </w:rPr>
        <w:t>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de-DE"/>
        </w:rPr>
        <w:t>ch 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 .......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  <w:lang w:val="de-DE"/>
        </w:rPr>
        <w:t>nh g</w:t>
      </w:r>
      <w:r>
        <w:rPr>
          <w:rtl w:val="0"/>
        </w:rPr>
        <w:t>ử</w:t>
      </w:r>
      <w:r>
        <w:rPr>
          <w:rtl w:val="0"/>
          <w:lang w:val="it-IT"/>
        </w:rPr>
        <w:t>i: ........................................................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I.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t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en-US"/>
        </w:rPr>
        <w:t>ch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da-DK"/>
        </w:rPr>
        <w:t>ng kho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ty con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  <w:lang w:val="en-US"/>
        </w:rPr>
        <w:t>y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</w:t>
      </w:r>
    </w:p>
    <w:p>
      <w:pPr>
        <w:pStyle w:val="Normal.0"/>
        <w:spacing w:before="120" w:after="100"/>
      </w:pPr>
      <w:r>
        <w:rPr>
          <w:rtl w:val="0"/>
        </w:rPr>
        <w:t>2.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nh, b</w:t>
      </w:r>
      <w:r>
        <w:rPr>
          <w:rtl w:val="0"/>
        </w:rPr>
        <w:t xml:space="preserve">ổ </w:t>
      </w:r>
      <w:r>
        <w:rPr>
          <w:rtl w:val="0"/>
          <w:lang w:val="de-DE"/>
        </w:rPr>
        <w:t>sung,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es-ES_tradnl"/>
        </w:rPr>
        <w:t>c quy ch</w:t>
      </w:r>
      <w:r>
        <w:rPr>
          <w:rtl w:val="0"/>
        </w:rPr>
        <w:t>ế</w:t>
      </w:r>
      <w:r>
        <w:rPr>
          <w:rtl w:val="0"/>
          <w:lang w:val="es-ES_tradnl"/>
        </w:rPr>
        <w:t xml:space="preserve">,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s-ES_tradnl"/>
        </w:rPr>
        <w:t>nh, quy tr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en-US"/>
        </w:rPr>
        <w:t>t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  <w:lang w:val="en-US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ty con.</w:t>
      </w:r>
    </w:p>
    <w:p>
      <w:pPr>
        <w:pStyle w:val="Normal.0"/>
        <w:spacing w:before="120" w:after="100"/>
      </w:pPr>
      <w:r>
        <w:rPr>
          <w:rtl w:val="0"/>
        </w:rPr>
        <w:t>3.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  <w:lang w:val="it-IT"/>
        </w:rPr>
        <w:t>t giao d</w:t>
      </w:r>
      <w:r>
        <w:rPr>
          <w:rtl w:val="0"/>
        </w:rPr>
        <w:t>ị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k</w:t>
      </w:r>
      <w:r>
        <w:rPr>
          <w:rtl w:val="0"/>
        </w:rPr>
        <w:t>ỳ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ấ</w:t>
      </w:r>
      <w:r>
        <w:rPr>
          <w:rtl w:val="0"/>
          <w:lang w:val="en-US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Ủ</w:t>
      </w:r>
      <w:r>
        <w:rPr>
          <w:rtl w:val="0"/>
          <w:lang w:val="en-US"/>
        </w:rPr>
        <w:t>y ban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5.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en-US"/>
        </w:rPr>
        <w:t>c trong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6.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  <w:lang w:val="en-US"/>
        </w:rPr>
        <w:t>ng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  <w:lang w:val="fr-FR"/>
        </w:rPr>
        <w:t>u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 xml:space="preserve">t. 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II.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fr-FR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en-US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Bi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  <w:lang w:val="de-DE"/>
        </w:rPr>
        <w:t>u 1: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o t</w:t>
      </w:r>
      <w:r>
        <w:rPr>
          <w:i w:val="1"/>
          <w:iCs w:val="1"/>
          <w:rtl w:val="0"/>
          <w:lang w:val="it-IT"/>
        </w:rPr>
        <w:t>ì</w:t>
      </w:r>
      <w:r>
        <w:rPr>
          <w:i w:val="1"/>
          <w:iCs w:val="1"/>
          <w:rtl w:val="0"/>
          <w:lang w:val="de-DE"/>
        </w:rPr>
        <w:t>nh h</w:t>
      </w:r>
      <w:r>
        <w:rPr>
          <w:i w:val="1"/>
          <w:iCs w:val="1"/>
          <w:rtl w:val="0"/>
          <w:lang w:val="it-IT"/>
        </w:rPr>
        <w:t>ì</w:t>
      </w:r>
      <w:r>
        <w:rPr>
          <w:i w:val="1"/>
          <w:iCs w:val="1"/>
          <w:rtl w:val="0"/>
          <w:lang w:val="pt-PT"/>
        </w:rPr>
        <w:t>nh x</w:t>
      </w:r>
      <w:r>
        <w:rPr>
          <w:i w:val="1"/>
          <w:iCs w:val="1"/>
          <w:rtl w:val="0"/>
        </w:rPr>
        <w:t xml:space="preserve">ử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c d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  <w:lang w:val="es-ES_tradnl"/>
        </w:rPr>
        <w:t>u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  <w:lang w:val="it-IT"/>
        </w:rPr>
        <w:t>u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  <w:lang w:val="de-DE"/>
        </w:rPr>
        <w:t>ch b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  <w:lang w:val="en-US"/>
        </w:rPr>
        <w:t>t th</w:t>
      </w:r>
      <w:r>
        <w:rPr>
          <w:i w:val="1"/>
          <w:iCs w:val="1"/>
          <w:rtl w:val="0"/>
        </w:rPr>
        <w:t>ườ</w:t>
      </w:r>
      <w:r>
        <w:rPr>
          <w:i w:val="1"/>
          <w:iCs w:val="1"/>
          <w:rtl w:val="0"/>
        </w:rPr>
        <w:t>ng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7"/>
        <w:gridCol w:w="864"/>
        <w:gridCol w:w="889"/>
        <w:gridCol w:w="861"/>
        <w:gridCol w:w="868"/>
        <w:gridCol w:w="868"/>
        <w:gridCol w:w="861"/>
        <w:gridCol w:w="870"/>
        <w:gridCol w:w="861"/>
        <w:gridCol w:w="861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TT</w:t>
            </w:r>
          </w:p>
        </w:tc>
        <w:tc>
          <w:tcPr>
            <w:tcW w:type="dxa" w:w="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pt-PT"/>
              </w:rPr>
              <w:t>nh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o theo ti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fr-FR"/>
              </w:rPr>
              <w:t>u ch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m s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</w:t>
            </w:r>
          </w:p>
        </w:tc>
        <w:tc>
          <w:tcPr>
            <w:tcW w:type="dxa" w:w="8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b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n-US"/>
              </w:rPr>
              <w:t>t th</w:t>
            </w:r>
            <w:r>
              <w:rPr>
                <w:shd w:val="nil" w:color="auto" w:fill="auto"/>
                <w:rtl w:val="0"/>
              </w:rPr>
              <w:t>ườ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c/ 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 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  <w:lang w:val="en-US"/>
              </w:rPr>
              <w:t>c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i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it-IT"/>
              </w:rPr>
              <w:t>y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b</w:t>
            </w:r>
            <w:r>
              <w:rPr>
                <w:shd w:val="nil" w:color="auto" w:fill="auto"/>
                <w:rtl w:val="0"/>
              </w:rPr>
              <w:t>ắ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đầ</w:t>
            </w:r>
            <w:r>
              <w:rPr>
                <w:shd w:val="nil" w:color="auto" w:fill="auto"/>
                <w:rtl w:val="0"/>
              </w:rPr>
              <w:t>u x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8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it-IT"/>
              </w:rPr>
              <w:t>ì</w:t>
            </w:r>
            <w:r>
              <w:rPr>
                <w:shd w:val="nil" w:color="auto" w:fill="auto"/>
                <w:rtl w:val="0"/>
                <w:lang w:val="sv-SE"/>
              </w:rPr>
              <w:t>nh tr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ng x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ý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7"/>
        <w:gridCol w:w="864"/>
        <w:gridCol w:w="889"/>
        <w:gridCol w:w="861"/>
        <w:gridCol w:w="868"/>
        <w:gridCol w:w="868"/>
        <w:gridCol w:w="861"/>
        <w:gridCol w:w="870"/>
        <w:gridCol w:w="861"/>
        <w:gridCol w:w="86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3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86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88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86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86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86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86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8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86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86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Bi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u 2: Danh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c, c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vi ph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m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"/>
        <w:gridCol w:w="901"/>
        <w:gridCol w:w="555"/>
        <w:gridCol w:w="608"/>
        <w:gridCol w:w="661"/>
        <w:gridCol w:w="3768"/>
        <w:gridCol w:w="161"/>
        <w:gridCol w:w="161"/>
        <w:gridCol w:w="161"/>
        <w:gridCol w:w="161"/>
        <w:gridCol w:w="161"/>
        <w:gridCol w:w="819"/>
        <w:gridCol w:w="528"/>
        <w:gridCol w:w="401"/>
      </w:tblGrid>
      <w:tr>
        <w:tblPrEx>
          <w:shd w:val="clear" w:color="auto" w:fill="ced7e7"/>
        </w:tblPrEx>
        <w:trPr>
          <w:trHeight w:val="10810" w:hRule="atLeast"/>
        </w:trPr>
        <w:tc>
          <w:tcPr>
            <w:tcW w:type="dxa" w:w="3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TT</w:t>
            </w:r>
          </w:p>
        </w:tc>
        <w:tc>
          <w:tcPr>
            <w:tcW w:type="dxa" w:w="9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 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5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6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i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6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n CTCK</w:t>
            </w:r>
          </w:p>
        </w:tc>
        <w:tc>
          <w:tcPr>
            <w:tcW w:type="dxa" w:w="376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16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16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16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16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16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b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tin khi 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  <w:lang w:val="en-US"/>
              </w:rPr>
              <w:t>c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fr-FR"/>
              </w:rPr>
              <w:t>n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it-IT"/>
              </w:rPr>
              <w:t>c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 (c</w:t>
            </w:r>
            <w:r>
              <w:rPr>
                <w:shd w:val="nil" w:color="auto" w:fill="auto"/>
                <w:rtl w:val="0"/>
              </w:rPr>
              <w:t>ổ đô</w:t>
            </w:r>
            <w:r>
              <w:rPr>
                <w:shd w:val="nil" w:color="auto" w:fill="auto"/>
                <w:rtl w:val="0"/>
                <w:lang w:val="en-US"/>
              </w:rPr>
              <w:t>ng l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  <w:lang w:val="en-US"/>
              </w:rPr>
              <w:t>n, c</w:t>
            </w:r>
            <w:r>
              <w:rPr>
                <w:shd w:val="nil" w:color="auto" w:fill="auto"/>
                <w:rtl w:val="0"/>
              </w:rPr>
              <w:t>ổ đô</w:t>
            </w:r>
            <w:r>
              <w:rPr>
                <w:shd w:val="nil" w:color="auto" w:fill="auto"/>
                <w:rtl w:val="0"/>
                <w:lang w:val="en-US"/>
              </w:rPr>
              <w:t>ng n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i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ườ</w:t>
            </w:r>
            <w:r>
              <w:rPr>
                <w:shd w:val="nil" w:color="auto" w:fill="auto"/>
                <w:rtl w:val="0"/>
              </w:rPr>
              <w:t>i li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it-IT"/>
              </w:rPr>
              <w:t>n quan, c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  <w:lang w:val="fr-FR"/>
              </w:rPr>
              <w:t>phi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  <w:lang w:val="pt-PT"/>
              </w:rPr>
              <w:t>u qu</w:t>
            </w:r>
            <w:r>
              <w:rPr>
                <w:shd w:val="nil" w:color="auto" w:fill="auto"/>
                <w:rtl w:val="0"/>
              </w:rPr>
              <w:t>ỹ</w:t>
            </w:r>
            <w:r>
              <w:rPr>
                <w:shd w:val="nil" w:color="auto" w:fill="auto"/>
                <w:rtl w:val="0"/>
              </w:rPr>
              <w:t>, c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  <w:lang w:val="fr-FR"/>
              </w:rPr>
              <w:t>phi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u 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it-IT"/>
              </w:rPr>
              <w:t>n ch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  <w:lang w:val="en-US"/>
              </w:rPr>
              <w:t>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it-IT"/>
              </w:rPr>
              <w:t>ng,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c)</w:t>
            </w:r>
          </w:p>
        </w:tc>
        <w:tc>
          <w:tcPr>
            <w:tcW w:type="dxa" w:w="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ổ</w:t>
            </w:r>
            <w:r>
              <w:rPr>
                <w:shd w:val="nil" w:color="auto" w:fill="auto"/>
                <w:rtl w:val="0"/>
                <w:lang w:val="en-US"/>
              </w:rPr>
              <w:t>ng c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Ghi ch</w:t>
            </w:r>
            <w:r>
              <w:rPr>
                <w:shd w:val="nil" w:color="auto" w:fill="auto"/>
                <w:rtl w:val="0"/>
              </w:rPr>
              <w:t>ú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"/>
        <w:gridCol w:w="932"/>
        <w:gridCol w:w="573"/>
        <w:gridCol w:w="628"/>
        <w:gridCol w:w="683"/>
        <w:gridCol w:w="2081"/>
        <w:gridCol w:w="167"/>
        <w:gridCol w:w="166"/>
        <w:gridCol w:w="1667"/>
        <w:gridCol w:w="167"/>
        <w:gridCol w:w="166"/>
        <w:gridCol w:w="847"/>
        <w:gridCol w:w="545"/>
        <w:gridCol w:w="413"/>
      </w:tblGrid>
      <w:tr>
        <w:tblPrEx>
          <w:shd w:val="clear" w:color="auto" w:fill="ced7e7"/>
        </w:tblPrEx>
        <w:trPr>
          <w:trHeight w:val="10810" w:hRule="atLeast"/>
        </w:trPr>
        <w:tc>
          <w:tcPr>
            <w:tcW w:type="dxa" w:w="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m/d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pt-PT"/>
              </w:rPr>
              <w:t>m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fr-FR"/>
              </w:rPr>
              <w:t xml:space="preserve">c quy </w:t>
            </w:r>
            <w:r>
              <w:rPr>
                <w:shd w:val="nil" w:color="auto" w:fill="auto"/>
                <w:rtl w:val="0"/>
              </w:rPr>
              <w:t>đị</w:t>
            </w:r>
            <w:r>
              <w:rPr>
                <w:shd w:val="nil" w:color="auto" w:fill="auto"/>
                <w:rtl w:val="0"/>
                <w:lang w:val="de-DE"/>
              </w:rPr>
              <w:t>nh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1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m/d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pt-PT"/>
              </w:rPr>
              <w:t>m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fr-FR"/>
              </w:rPr>
              <w:t xml:space="preserve">c quy </w:t>
            </w:r>
            <w:r>
              <w:rPr>
                <w:shd w:val="nil" w:color="auto" w:fill="auto"/>
                <w:rtl w:val="0"/>
              </w:rPr>
              <w:t>đị</w:t>
            </w:r>
            <w:r>
              <w:rPr>
                <w:shd w:val="nil" w:color="auto" w:fill="auto"/>
                <w:rtl w:val="0"/>
                <w:lang w:val="de-DE"/>
              </w:rPr>
              <w:t>nh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1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m/d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pt-PT"/>
              </w:rPr>
              <w:t>m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fr-FR"/>
              </w:rPr>
              <w:t xml:space="preserve">c quy </w:t>
            </w:r>
            <w:r>
              <w:rPr>
                <w:shd w:val="nil" w:color="auto" w:fill="auto"/>
                <w:rtl w:val="0"/>
              </w:rPr>
              <w:t>đị</w:t>
            </w:r>
            <w:r>
              <w:rPr>
                <w:shd w:val="nil" w:color="auto" w:fill="auto"/>
                <w:rtl w:val="0"/>
                <w:lang w:val="de-DE"/>
              </w:rPr>
              <w:t>nh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  <w:lang w:val="en-US"/>
              </w:rPr>
              <w:t>GDCK</w:t>
            </w:r>
          </w:p>
        </w:tc>
        <w:tc>
          <w:tcPr>
            <w:tcW w:type="dxa" w:w="166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m/d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it-IT"/>
              </w:rPr>
              <w:t>m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b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16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m/d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it-IT"/>
              </w:rPr>
              <w:t>m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b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16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m/d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  <w:lang w:val="es-ES_tradnl"/>
              </w:rPr>
              <w:t>u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>u vi ph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it-IT"/>
              </w:rPr>
              <w:t>m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b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"/>
        <w:gridCol w:w="970"/>
        <w:gridCol w:w="597"/>
        <w:gridCol w:w="654"/>
        <w:gridCol w:w="712"/>
        <w:gridCol w:w="913"/>
        <w:gridCol w:w="896"/>
        <w:gridCol w:w="511"/>
        <w:gridCol w:w="665"/>
        <w:gridCol w:w="697"/>
        <w:gridCol w:w="526"/>
        <w:gridCol w:w="882"/>
        <w:gridCol w:w="567"/>
        <w:gridCol w:w="432"/>
      </w:tblGrid>
      <w:tr>
        <w:tblPrEx>
          <w:shd w:val="clear" w:color="auto" w:fill="ced7e7"/>
        </w:tblPrEx>
        <w:trPr>
          <w:trHeight w:val="5410" w:hRule="atLeast"/>
        </w:trPr>
        <w:tc>
          <w:tcPr>
            <w:tcW w:type="dxa" w:w="3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9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5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1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 c</w:t>
            </w:r>
            <w:r>
              <w:rPr>
                <w:shd w:val="nil" w:color="auto" w:fill="auto"/>
                <w:rtl w:val="0"/>
                <w:lang w:val="it-IT"/>
              </w:rPr>
              <w:t>ù</w:t>
            </w:r>
            <w:r>
              <w:rPr>
                <w:shd w:val="nil" w:color="auto" w:fill="auto"/>
                <w:rtl w:val="0"/>
              </w:rPr>
              <w:t>ng mua/b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8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y/s</w:t>
            </w:r>
            <w:r>
              <w:rPr>
                <w:shd w:val="nil" w:color="auto" w:fill="auto"/>
                <w:rtl w:val="0"/>
              </w:rPr>
              <w:t>ử</w:t>
            </w:r>
            <w:r>
              <w:rPr>
                <w:shd w:val="nil" w:color="auto" w:fill="auto"/>
                <w:rtl w:val="0"/>
              </w:rPr>
              <w:t>a l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it-IT"/>
              </w:rPr>
              <w:t xml:space="preserve">nh sai quy </w:t>
            </w:r>
            <w:r>
              <w:rPr>
                <w:shd w:val="nil" w:color="auto" w:fill="auto"/>
                <w:rtl w:val="0"/>
              </w:rPr>
              <w:t>đị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</w:p>
        </w:tc>
        <w:tc>
          <w:tcPr>
            <w:tcW w:type="dxa" w:w="51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6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s</w:t>
            </w:r>
            <w:r>
              <w:rPr>
                <w:shd w:val="nil" w:color="auto" w:fill="auto"/>
                <w:rtl w:val="0"/>
              </w:rPr>
              <w:t xml:space="preserve">ử 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  <w:lang w:val="en-US"/>
              </w:rPr>
              <w:t>ng 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tin n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i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trong mua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it-IT"/>
              </w:rPr>
              <w:t>n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69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Thao 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>ng TTCK</w:t>
            </w:r>
          </w:p>
        </w:tc>
        <w:tc>
          <w:tcPr>
            <w:tcW w:type="dxa" w:w="52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  <w:lang w:val="de-DE"/>
              </w:rPr>
              <w:t>ch b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m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88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6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"/>
        <w:gridCol w:w="970"/>
        <w:gridCol w:w="597"/>
        <w:gridCol w:w="654"/>
        <w:gridCol w:w="712"/>
        <w:gridCol w:w="913"/>
        <w:gridCol w:w="896"/>
        <w:gridCol w:w="511"/>
        <w:gridCol w:w="665"/>
        <w:gridCol w:w="697"/>
        <w:gridCol w:w="526"/>
        <w:gridCol w:w="882"/>
        <w:gridCol w:w="567"/>
        <w:gridCol w:w="432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I/CTCK</w:t>
            </w:r>
          </w:p>
        </w:tc>
        <w:tc>
          <w:tcPr>
            <w:tcW w:type="dxa" w:w="59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5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1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8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51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9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52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88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56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"/>
        <w:gridCol w:w="970"/>
        <w:gridCol w:w="597"/>
        <w:gridCol w:w="654"/>
        <w:gridCol w:w="712"/>
        <w:gridCol w:w="913"/>
        <w:gridCol w:w="896"/>
        <w:gridCol w:w="511"/>
        <w:gridCol w:w="665"/>
        <w:gridCol w:w="697"/>
        <w:gridCol w:w="526"/>
        <w:gridCol w:w="882"/>
        <w:gridCol w:w="567"/>
        <w:gridCol w:w="432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II/</w:t>
            </w:r>
            <w:r>
              <w:rPr>
                <w:shd w:val="nil" w:color="auto" w:fill="auto"/>
                <w:rtl w:val="0"/>
              </w:rPr>
              <w:t>Đạ</w:t>
            </w:r>
            <w:r>
              <w:rPr>
                <w:shd w:val="nil" w:color="auto" w:fill="auto"/>
                <w:rtl w:val="0"/>
                <w:lang w:val="it-IT"/>
              </w:rPr>
              <w:t>i di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n GD/nh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  <w:lang w:val="de-DE"/>
              </w:rPr>
              <w:t>n vi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n CTCK</w:t>
            </w:r>
          </w:p>
        </w:tc>
        <w:tc>
          <w:tcPr>
            <w:tcW w:type="dxa" w:w="59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5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1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8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51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9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52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88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56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"/>
        <w:gridCol w:w="970"/>
        <w:gridCol w:w="597"/>
        <w:gridCol w:w="654"/>
        <w:gridCol w:w="712"/>
        <w:gridCol w:w="913"/>
        <w:gridCol w:w="896"/>
        <w:gridCol w:w="511"/>
        <w:gridCol w:w="665"/>
        <w:gridCol w:w="697"/>
        <w:gridCol w:w="526"/>
        <w:gridCol w:w="882"/>
        <w:gridCol w:w="567"/>
        <w:gridCol w:w="432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III/T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c/c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59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5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1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1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69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52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88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x</w:t>
            </w:r>
          </w:p>
        </w:tc>
        <w:tc>
          <w:tcPr>
            <w:tcW w:type="dxa" w:w="56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Ghi ch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Bi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u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2: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- Bi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u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t</w:t>
      </w:r>
      <w:r>
        <w:rPr>
          <w:i w:val="1"/>
          <w:iCs w:val="1"/>
          <w:rtl w:val="0"/>
        </w:rPr>
        <w:t>ổ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p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n vi ph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tin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i t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c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giao d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- Lo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vi vi ph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m </w:t>
      </w:r>
      <w:r>
        <w:rPr>
          <w:i w:val="1"/>
          <w:iCs w:val="1"/>
          <w:rtl w:val="0"/>
        </w:rPr>
        <w:t>đư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c th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ng k</w:t>
      </w:r>
      <w:r>
        <w:rPr>
          <w:i w:val="1"/>
          <w:iCs w:val="1"/>
          <w:rtl w:val="0"/>
        </w:rPr>
        <w:t xml:space="preserve">ê </w:t>
      </w:r>
      <w:r>
        <w:rPr>
          <w:i w:val="1"/>
          <w:iCs w:val="1"/>
          <w:rtl w:val="0"/>
        </w:rPr>
        <w:t xml:space="preserve">theo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nh.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III. Ki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ngh</w:t>
      </w:r>
      <w:r>
        <w:rPr>
          <w:b w:val="1"/>
          <w:bCs w:val="1"/>
          <w:rtl w:val="0"/>
        </w:rPr>
        <w:t>ị</w:t>
      </w:r>
    </w:p>
    <w:p>
      <w:pPr>
        <w:pStyle w:val="Normal.0"/>
        <w:spacing w:before="120" w:after="100"/>
      </w:pPr>
      <w:r>
        <w:rPr>
          <w:rtl w:val="0"/>
        </w:rPr>
        <w:t>1.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</w:p>
    <w:p>
      <w:pPr>
        <w:pStyle w:val="Normal.0"/>
        <w:spacing w:before="120" w:after="100"/>
      </w:pPr>
      <w:r>
        <w:rPr>
          <w:rtl w:val="0"/>
        </w:rPr>
        <w:t>2.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 xml:space="preserve">ị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4"/>
        <w:gridCol w:w="5256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Nh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u: VT, (...b).</w:t>
            </w:r>
          </w:p>
        </w:tc>
        <w:tc>
          <w:tcPr>
            <w:tcW w:type="dxa" w:w="5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GI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M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GIAO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v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ghi r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5" w:id="59"/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II</w:t>
      </w:r>
      <w:bookmarkEnd w:id="59"/>
    </w:p>
    <w:p>
      <w:pPr>
        <w:pStyle w:val="Normal.0"/>
        <w:spacing w:before="120" w:after="100"/>
        <w:jc w:val="center"/>
      </w:pPr>
      <w:bookmarkStart w:name="chuong_pl_5_name" w:id="60"/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>U BI</w:t>
      </w:r>
      <w:r>
        <w:rPr>
          <w:rtl w:val="0"/>
        </w:rPr>
        <w:t>Ể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TY L</w:t>
      </w:r>
      <w:r>
        <w:rPr>
          <w:rtl w:val="0"/>
        </w:rPr>
        <w:t>Ư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</w:t>
      </w:r>
      <w:bookmarkEnd w:id="60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</w:rPr>
        <w:t>(Ban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>m theo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95/2020/TT-BTC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16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2020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nh)</w:t>
      </w:r>
    </w:p>
    <w:p>
      <w:pPr>
        <w:pStyle w:val="Normal.0"/>
        <w:spacing w:before="120" w:after="100"/>
      </w:pPr>
      <w:bookmarkStart w:name="chuong_pl_6" w:id="61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01: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kh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ng 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cu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y</w:t>
      </w:r>
      <w:bookmarkEnd w:id="61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6"/>
        <w:gridCol w:w="5664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NG TY 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U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Ù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Ừ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</w:t>
            </w:r>
          </w:p>
        </w:tc>
        <w:tc>
          <w:tcPr>
            <w:tcW w:type="dxa" w:w="5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6"/>
        <w:gridCol w:w="56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....../BC-....</w:t>
            </w:r>
          </w:p>
        </w:tc>
        <w:tc>
          <w:tcPr>
            <w:tcW w:type="dxa" w:w="5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......,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.....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ng .....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......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  <w:lang w:val="en-US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kh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l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  <w:lang w:val="es-ES_tradnl"/>
        </w:rPr>
        <w:t>cu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  <w:lang w:val="it-IT"/>
        </w:rPr>
        <w:t>i ng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y ...................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  <w:lang w:val="de-DE"/>
        </w:rPr>
        <w:t>nh g</w:t>
      </w:r>
      <w:r>
        <w:rPr>
          <w:rtl w:val="0"/>
        </w:rPr>
        <w:t>ử</w:t>
      </w:r>
      <w:r>
        <w:rPr>
          <w:rtl w:val="0"/>
          <w:lang w:val="it-IT"/>
        </w:rPr>
        <w:t>i: .....................................................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ố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  <w:lang w:val="en-US"/>
        </w:rPr>
        <w:t>ng m</w:t>
      </w:r>
      <w:r>
        <w:rPr>
          <w:rtl w:val="0"/>
        </w:rPr>
        <w:t xml:space="preserve">ở </w:t>
      </w:r>
      <w:r>
        <w:rPr>
          <w:rtl w:val="0"/>
          <w:lang w:val="es-ES_tradnl"/>
        </w:rPr>
        <w:t>cu</w:t>
      </w:r>
      <w:r>
        <w:rPr>
          <w:rtl w:val="0"/>
        </w:rPr>
        <w:t>ố</w:t>
      </w:r>
      <w:r>
        <w:rPr>
          <w:rtl w:val="0"/>
          <w:lang w:val="it-IT"/>
        </w:rPr>
        <w:t>i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  <w:lang w:val="en-US"/>
        </w:rPr>
        <w:t>ng lo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pt-PT"/>
        </w:rPr>
        <w:t>i sinh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6"/>
        <w:gridCol w:w="2932"/>
        <w:gridCol w:w="451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9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STT</w:t>
            </w:r>
          </w:p>
        </w:tc>
        <w:tc>
          <w:tcPr>
            <w:tcW w:type="dxa" w:w="293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  <w:lang w:val="nl-NL"/>
              </w:rPr>
              <w:t xml:space="preserve">p </w:t>
            </w:r>
            <w:r>
              <w:rPr>
                <w:shd w:val="nil" w:color="auto" w:fill="auto"/>
                <w:rtl w:val="0"/>
              </w:rPr>
              <w:t>đồ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4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i l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>ng h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  <w:lang w:val="nl-NL"/>
              </w:rPr>
              <w:t xml:space="preserve">p </w:t>
            </w:r>
            <w:r>
              <w:rPr>
                <w:shd w:val="nil" w:color="auto" w:fill="auto"/>
                <w:rtl w:val="0"/>
              </w:rPr>
              <w:t>đồ</w:t>
            </w:r>
            <w:r>
              <w:rPr>
                <w:shd w:val="nil" w:color="auto" w:fill="auto"/>
                <w:rtl w:val="0"/>
                <w:lang w:val="en-US"/>
              </w:rPr>
              <w:t>ng m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  <w:lang w:val="fr-FR"/>
              </w:rPr>
              <w:t>OI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6"/>
        <w:gridCol w:w="2932"/>
        <w:gridCol w:w="451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9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93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4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6"/>
        <w:gridCol w:w="2932"/>
        <w:gridCol w:w="451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9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1"/>
        <w:gridCol w:w="4899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Nh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u: VT, (...b)</w:t>
            </w:r>
          </w:p>
        </w:tc>
        <w:tc>
          <w:tcPr>
            <w:tcW w:type="dxa" w:w="48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NG TY 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U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Ù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Ừ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v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ghi r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bookmarkStart w:name="chuong_pl_7" w:id="62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02: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tu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</w:t>
      </w:r>
      <w:bookmarkEnd w:id="62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6"/>
        <w:gridCol w:w="5664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NG TY 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U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Ù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Ừ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6"/>
        <w:gridCol w:w="56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 xml:space="preserve">    </w:t>
            </w:r>
            <w:r>
              <w:rPr>
                <w:shd w:val="nil" w:color="auto" w:fill="auto"/>
                <w:rtl w:val="0"/>
              </w:rPr>
              <w:t>/BC-....</w:t>
            </w:r>
          </w:p>
        </w:tc>
        <w:tc>
          <w:tcPr>
            <w:tcW w:type="dxa" w:w="56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......,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.....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ng .....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......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  <w:lang w:val="it-IT"/>
        </w:rPr>
        <w:t>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en-US"/>
        </w:rPr>
        <w:t>ch tu</w:t>
      </w:r>
      <w:r>
        <w:rPr>
          <w:b w:val="1"/>
          <w:bCs w:val="1"/>
          <w:rtl w:val="0"/>
        </w:rPr>
        <w:t>ầ</w:t>
      </w:r>
      <w:r>
        <w:rPr>
          <w:b w:val="1"/>
          <w:bCs w:val="1"/>
          <w:rtl w:val="0"/>
        </w:rPr>
        <w:t>n .........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  <w:lang w:val="de-DE"/>
        </w:rPr>
        <w:t>nh g</w:t>
      </w:r>
      <w:r>
        <w:rPr>
          <w:rtl w:val="0"/>
        </w:rPr>
        <w:t>ử</w:t>
      </w:r>
      <w:r>
        <w:rPr>
          <w:rtl w:val="0"/>
          <w:lang w:val="it-IT"/>
        </w:rPr>
        <w:t>i: .....................................................................</w:t>
      </w:r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t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s</w:t>
      </w:r>
      <w:r>
        <w:rPr>
          <w:rtl w:val="0"/>
        </w:rPr>
        <w:t>ử</w:t>
      </w:r>
      <w:r>
        <w:rPr>
          <w:rtl w:val="0"/>
        </w:rPr>
        <w:t>a l</w:t>
      </w:r>
      <w:r>
        <w:rPr>
          <w:rtl w:val="0"/>
        </w:rPr>
        <w:t>ỗ</w:t>
      </w:r>
      <w:r>
        <w:rPr>
          <w:rtl w:val="0"/>
          <w:lang w:val="fr-FR"/>
        </w:rPr>
        <w:t>i, l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i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en-US"/>
        </w:rPr>
        <w:t>n thanh to</w:t>
      </w:r>
      <w:r>
        <w:rPr>
          <w:rtl w:val="0"/>
        </w:rPr>
        <w:t>á</w:t>
      </w:r>
      <w:r>
        <w:rPr>
          <w:rtl w:val="0"/>
          <w:lang w:val="es-ES_tradnl"/>
        </w:rPr>
        <w:t>n, lo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ỏ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  <w:lang w:val="en-US"/>
        </w:rPr>
        <w:t>ng thanh to</w:t>
      </w:r>
      <w:r>
        <w:rPr>
          <w:rtl w:val="0"/>
        </w:rPr>
        <w:t>á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</w:t>
      </w: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7"/>
        <w:gridCol w:w="952"/>
        <w:gridCol w:w="666"/>
        <w:gridCol w:w="525"/>
        <w:gridCol w:w="607"/>
        <w:gridCol w:w="708"/>
        <w:gridCol w:w="594"/>
        <w:gridCol w:w="594"/>
        <w:gridCol w:w="953"/>
        <w:gridCol w:w="717"/>
        <w:gridCol w:w="705"/>
        <w:gridCol w:w="783"/>
      </w:tblGrid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it-IT"/>
              </w:rPr>
              <w:t>i nghi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nl-NL"/>
              </w:rPr>
              <w:t>p v</w:t>
            </w:r>
            <w:r>
              <w:rPr>
                <w:shd w:val="nil" w:color="auto" w:fill="auto"/>
                <w:rtl w:val="0"/>
              </w:rPr>
              <w:t>ụ</w:t>
            </w:r>
          </w:p>
        </w:tc>
        <w:tc>
          <w:tcPr>
            <w:tcW w:type="dxa" w:w="95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s-ES_tradnl"/>
              </w:rPr>
              <w:t>n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 k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n th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s-ES_tradnl"/>
              </w:rPr>
              <w:t>n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 k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l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</w:p>
        </w:tc>
        <w:tc>
          <w:tcPr>
            <w:tcW w:type="dxa" w:w="6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i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>ử</w:t>
            </w:r>
            <w:r>
              <w:rPr>
                <w:shd w:val="nil" w:color="auto" w:fill="auto"/>
                <w:rtl w:val="0"/>
              </w:rPr>
              <w:t>a l</w:t>
            </w:r>
            <w:r>
              <w:rPr>
                <w:shd w:val="nil" w:color="auto" w:fill="auto"/>
                <w:rtl w:val="0"/>
              </w:rPr>
              <w:t>ỗ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7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it-IT"/>
              </w:rPr>
              <w:t>y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9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s</w:t>
            </w:r>
            <w:r>
              <w:rPr>
                <w:shd w:val="nil" w:color="auto" w:fill="auto"/>
                <w:rtl w:val="0"/>
              </w:rPr>
              <w:t>ử</w:t>
            </w:r>
            <w:r>
              <w:rPr>
                <w:shd w:val="nil" w:color="auto" w:fill="auto"/>
                <w:rtl w:val="0"/>
              </w:rPr>
              <w:t>a l</w:t>
            </w:r>
            <w:r>
              <w:rPr>
                <w:shd w:val="nil" w:color="auto" w:fill="auto"/>
                <w:rtl w:val="0"/>
              </w:rPr>
              <w:t>ỗ</w:t>
            </w:r>
            <w:r>
              <w:rPr>
                <w:shd w:val="nil" w:color="auto" w:fill="auto"/>
                <w:rtl w:val="0"/>
              </w:rPr>
              <w:t>i/l</w:t>
            </w:r>
            <w:r>
              <w:rPr>
                <w:shd w:val="nil" w:color="auto" w:fill="auto"/>
                <w:rtl w:val="0"/>
                <w:lang w:val="it-IT"/>
              </w:rPr>
              <w:t>ù</w:t>
            </w:r>
            <w:r>
              <w:rPr>
                <w:shd w:val="nil" w:color="auto" w:fill="auto"/>
                <w:rtl w:val="0"/>
                <w:lang w:val="en-US"/>
              </w:rPr>
              <w:t>i th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n thanh to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n/lo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b</w:t>
            </w:r>
            <w:r>
              <w:rPr>
                <w:shd w:val="nil" w:color="auto" w:fill="auto"/>
                <w:rtl w:val="0"/>
              </w:rPr>
              <w:t xml:space="preserve">ỏ </w:t>
            </w: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thanh to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71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sv-SE"/>
              </w:rPr>
              <w:t>nh vi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s-ES_tradnl"/>
              </w:rPr>
              <w:t>n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li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it-IT"/>
              </w:rPr>
              <w:t>n quan</w:t>
            </w:r>
          </w:p>
        </w:tc>
        <w:tc>
          <w:tcPr>
            <w:tcW w:type="dxa" w:w="70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>ng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 xml:space="preserve">ỗ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>ợ</w:t>
            </w:r>
          </w:p>
        </w:tc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  <w:lang w:val="pt-PT"/>
              </w:rPr>
              <w:t>do s</w:t>
            </w:r>
            <w:r>
              <w:rPr>
                <w:shd w:val="nil" w:color="auto" w:fill="auto"/>
                <w:rtl w:val="0"/>
              </w:rPr>
              <w:t>ử</w:t>
            </w:r>
            <w:r>
              <w:rPr>
                <w:shd w:val="nil" w:color="auto" w:fill="auto"/>
                <w:rtl w:val="0"/>
              </w:rPr>
              <w:t>a/ l</w:t>
            </w:r>
            <w:r>
              <w:rPr>
                <w:shd w:val="nil" w:color="auto" w:fill="auto"/>
                <w:rtl w:val="0"/>
                <w:lang w:val="it-IT"/>
              </w:rPr>
              <w:t>ù</w:t>
            </w:r>
            <w:r>
              <w:rPr>
                <w:shd w:val="nil" w:color="auto" w:fill="auto"/>
                <w:rtl w:val="0"/>
                <w:lang w:val="en-US"/>
              </w:rPr>
              <w:t>i th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n/ 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b</w:t>
            </w:r>
            <w:r>
              <w:rPr>
                <w:shd w:val="nil" w:color="auto" w:fill="auto"/>
                <w:rtl w:val="0"/>
              </w:rPr>
              <w:t xml:space="preserve">ỏ </w:t>
            </w: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thanh to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7"/>
        <w:gridCol w:w="952"/>
        <w:gridCol w:w="666"/>
        <w:gridCol w:w="525"/>
        <w:gridCol w:w="607"/>
        <w:gridCol w:w="708"/>
        <w:gridCol w:w="594"/>
        <w:gridCol w:w="594"/>
        <w:gridCol w:w="953"/>
        <w:gridCol w:w="717"/>
        <w:gridCol w:w="705"/>
        <w:gridCol w:w="78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ử</w:t>
            </w:r>
            <w:r>
              <w:rPr>
                <w:shd w:val="nil" w:color="auto" w:fill="auto"/>
                <w:rtl w:val="0"/>
              </w:rPr>
              <w:t>a l</w:t>
            </w:r>
            <w:r>
              <w:rPr>
                <w:shd w:val="nil" w:color="auto" w:fill="auto"/>
                <w:rtl w:val="0"/>
              </w:rPr>
              <w:t>ỗ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95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1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0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7"/>
        <w:gridCol w:w="952"/>
        <w:gridCol w:w="666"/>
        <w:gridCol w:w="525"/>
        <w:gridCol w:w="607"/>
        <w:gridCol w:w="708"/>
        <w:gridCol w:w="594"/>
        <w:gridCol w:w="594"/>
        <w:gridCol w:w="953"/>
        <w:gridCol w:w="717"/>
        <w:gridCol w:w="705"/>
        <w:gridCol w:w="783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  <w:lang w:val="it-IT"/>
              </w:rPr>
              <w:t>ù</w:t>
            </w:r>
            <w:r>
              <w:rPr>
                <w:shd w:val="nil" w:color="auto" w:fill="auto"/>
                <w:rtl w:val="0"/>
                <w:lang w:val="en-US"/>
              </w:rPr>
              <w:t>i th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en-US"/>
              </w:rPr>
              <w:t>n thanh to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95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1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0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7"/>
        <w:gridCol w:w="952"/>
        <w:gridCol w:w="666"/>
        <w:gridCol w:w="525"/>
        <w:gridCol w:w="607"/>
        <w:gridCol w:w="708"/>
        <w:gridCol w:w="594"/>
        <w:gridCol w:w="594"/>
        <w:gridCol w:w="953"/>
        <w:gridCol w:w="717"/>
        <w:gridCol w:w="705"/>
        <w:gridCol w:w="783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b</w:t>
            </w:r>
            <w:r>
              <w:rPr>
                <w:shd w:val="nil" w:color="auto" w:fill="auto"/>
                <w:rtl w:val="0"/>
              </w:rPr>
              <w:t xml:space="preserve">ỏ </w:t>
            </w: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to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95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0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1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0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7"/>
        <w:gridCol w:w="952"/>
        <w:gridCol w:w="666"/>
        <w:gridCol w:w="525"/>
        <w:gridCol w:w="607"/>
        <w:gridCol w:w="708"/>
        <w:gridCol w:w="594"/>
        <w:gridCol w:w="594"/>
        <w:gridCol w:w="953"/>
        <w:gridCol w:w="717"/>
        <w:gridCol w:w="705"/>
        <w:gridCol w:w="78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9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6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9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7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 xml:space="preserve">ê </w:t>
      </w:r>
      <w:r>
        <w:rPr>
          <w:rtl w:val="0"/>
        </w:rPr>
        <w:t>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kh</w:t>
      </w:r>
      <w:r>
        <w:rPr>
          <w:rtl w:val="0"/>
        </w:rPr>
        <w:t>ô</w:t>
      </w:r>
      <w:r>
        <w:rPr>
          <w:rtl w:val="0"/>
        </w:rPr>
        <w:t>ng qua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9"/>
        <w:gridCol w:w="835"/>
        <w:gridCol w:w="848"/>
        <w:gridCol w:w="848"/>
        <w:gridCol w:w="841"/>
        <w:gridCol w:w="840"/>
        <w:gridCol w:w="835"/>
        <w:gridCol w:w="844"/>
        <w:gridCol w:w="848"/>
        <w:gridCol w:w="837"/>
        <w:gridCol w:w="578"/>
        <w:gridCol w:w="527"/>
      </w:tblGrid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67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STT</w:t>
            </w:r>
          </w:p>
        </w:tc>
        <w:tc>
          <w:tcPr>
            <w:tcW w:type="dxa" w:w="83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n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4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 đă</w:t>
            </w:r>
            <w:r>
              <w:rPr>
                <w:shd w:val="nil" w:color="auto" w:fill="auto"/>
                <w:rtl w:val="0"/>
                <w:lang w:val="da-DK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  <w:lang w:val="fr-FR"/>
              </w:rPr>
              <w:t>u c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a b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n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4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i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 c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a b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en-US"/>
              </w:rPr>
              <w:t>n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  <w:lang w:val="en-US"/>
              </w:rPr>
              <w:t>n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 đă</w:t>
            </w:r>
            <w:r>
              <w:rPr>
                <w:shd w:val="nil" w:color="auto" w:fill="auto"/>
                <w:rtl w:val="0"/>
                <w:lang w:val="da-DK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  <w:lang w:val="fr-FR"/>
              </w:rPr>
              <w:t>u c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a b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  <w:lang w:val="en-US"/>
              </w:rPr>
              <w:t>n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3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i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it-IT"/>
              </w:rPr>
              <w:t>n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 c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a b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  <w:lang w:val="en-US"/>
              </w:rPr>
              <w:t>n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n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>ng quy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84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>ng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n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>ng quy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83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chuy</w:t>
            </w:r>
            <w:r>
              <w:rPr>
                <w:shd w:val="nil" w:color="auto" w:fill="auto"/>
                <w:rtl w:val="0"/>
              </w:rPr>
              <w:t>ể</w:t>
            </w:r>
            <w:r>
              <w:rPr>
                <w:shd w:val="nil" w:color="auto" w:fill="auto"/>
                <w:rtl w:val="0"/>
                <w:lang w:val="pt-PT"/>
              </w:rPr>
              <w:t>n nh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>ng 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u l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57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  <w:lang w:val="it-IT"/>
              </w:rPr>
              <w:t>i giao d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52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Ghi ch</w:t>
            </w:r>
            <w:r>
              <w:rPr>
                <w:shd w:val="nil" w:color="auto" w:fill="auto"/>
                <w:rtl w:val="0"/>
              </w:rPr>
              <w:t>ú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9"/>
        <w:gridCol w:w="835"/>
        <w:gridCol w:w="848"/>
        <w:gridCol w:w="848"/>
        <w:gridCol w:w="841"/>
        <w:gridCol w:w="840"/>
        <w:gridCol w:w="835"/>
        <w:gridCol w:w="844"/>
        <w:gridCol w:w="848"/>
        <w:gridCol w:w="837"/>
        <w:gridCol w:w="578"/>
        <w:gridCol w:w="52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8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5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5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3.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danh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giao d</w:t>
      </w:r>
      <w:r>
        <w:rPr>
          <w:rtl w:val="0"/>
        </w:rPr>
        <w:t>ị</w:t>
      </w:r>
      <w:r>
        <w:rPr>
          <w:rtl w:val="0"/>
        </w:rPr>
        <w:t>ch 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à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ở</w:t>
      </w:r>
      <w:r>
        <w:rPr>
          <w:rtl w:val="0"/>
        </w:rPr>
        <w:t xml:space="preserve">, </w:t>
      </w:r>
      <w:r>
        <w:rPr>
          <w:rtl w:val="0"/>
        </w:rPr>
        <w:t>đó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CTCK</w:t>
      </w:r>
    </w:p>
    <w:p>
      <w:pPr>
        <w:pStyle w:val="Normal.0"/>
        <w:spacing w:before="120" w:after="100"/>
      </w:pPr>
      <w:r>
        <w:rPr>
          <w:rtl w:val="0"/>
        </w:rPr>
        <w:t>Bi</w:t>
      </w:r>
      <w:r>
        <w:rPr>
          <w:rtl w:val="0"/>
        </w:rPr>
        <w:t>ể</w:t>
      </w:r>
      <w:r>
        <w:rPr>
          <w:rtl w:val="0"/>
        </w:rPr>
        <w:t>u 1: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danh t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Đ</w:t>
      </w:r>
      <w:r>
        <w:rPr>
          <w:rtl w:val="0"/>
        </w:rPr>
        <w:t>T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"/>
        <w:gridCol w:w="893"/>
        <w:gridCol w:w="760"/>
        <w:gridCol w:w="693"/>
        <w:gridCol w:w="622"/>
        <w:gridCol w:w="1489"/>
        <w:gridCol w:w="584"/>
        <w:gridCol w:w="632"/>
        <w:gridCol w:w="632"/>
        <w:gridCol w:w="793"/>
        <w:gridCol w:w="1021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STT</w:t>
            </w:r>
          </w:p>
        </w:tc>
        <w:tc>
          <w:tcPr>
            <w:tcW w:type="dxa" w:w="8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ch 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7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  <w:lang w:val="it-IT"/>
              </w:rPr>
              <w:t>ì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</w:p>
        </w:tc>
        <w:tc>
          <w:tcPr>
            <w:tcW w:type="dxa" w:w="6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TKGD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Đị</w:t>
            </w:r>
            <w:r>
              <w:rPr>
                <w:shd w:val="nil" w:color="auto" w:fill="auto"/>
                <w:rtl w:val="0"/>
                <w:lang w:val="it-IT"/>
              </w:rPr>
              <w:t>a ch</w:t>
            </w:r>
            <w:r>
              <w:rPr>
                <w:shd w:val="nil" w:color="auto" w:fill="auto"/>
                <w:rtl w:val="0"/>
              </w:rPr>
              <w:t>ỉ</w:t>
            </w:r>
          </w:p>
        </w:tc>
        <w:tc>
          <w:tcPr>
            <w:tcW w:type="dxa" w:w="14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 đă</w:t>
            </w:r>
            <w:r>
              <w:rPr>
                <w:shd w:val="nil" w:color="auto" w:fill="auto"/>
                <w:rtl w:val="0"/>
                <w:lang w:val="da-DK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58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  <w:lang w:val="it-IT"/>
              </w:rPr>
              <w:t>i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m</w:t>
            </w:r>
            <w:r>
              <w:rPr>
                <w:shd w:val="nil" w:color="auto" w:fill="auto"/>
                <w:rtl w:val="0"/>
              </w:rPr>
              <w:t>ở</w:t>
            </w:r>
          </w:p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Qu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10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Ghi ch</w:t>
            </w:r>
            <w:r>
              <w:rPr>
                <w:shd w:val="nil" w:color="auto" w:fill="auto"/>
                <w:rtl w:val="0"/>
              </w:rPr>
              <w:t>ú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"/>
        <w:gridCol w:w="893"/>
        <w:gridCol w:w="760"/>
        <w:gridCol w:w="693"/>
        <w:gridCol w:w="622"/>
        <w:gridCol w:w="1489"/>
        <w:gridCol w:w="584"/>
        <w:gridCol w:w="632"/>
        <w:gridCol w:w="632"/>
        <w:gridCol w:w="793"/>
        <w:gridCol w:w="1021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8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6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8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"/>
        <w:gridCol w:w="893"/>
        <w:gridCol w:w="760"/>
        <w:gridCol w:w="693"/>
        <w:gridCol w:w="622"/>
        <w:gridCol w:w="1489"/>
        <w:gridCol w:w="584"/>
        <w:gridCol w:w="632"/>
        <w:gridCol w:w="632"/>
        <w:gridCol w:w="793"/>
        <w:gridCol w:w="1021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6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ỹ</w:t>
            </w:r>
          </w:p>
        </w:tc>
        <w:tc>
          <w:tcPr>
            <w:tcW w:type="dxa" w:w="1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ườ</w:t>
            </w:r>
            <w:r>
              <w:rPr>
                <w:shd w:val="nil" w:color="auto" w:fill="auto"/>
                <w:rtl w:val="0"/>
                <w:lang w:val="it-IT"/>
              </w:rPr>
              <w:t>i Vi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de-DE"/>
              </w:rPr>
              <w:t>t Nam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Bi</w:t>
      </w:r>
      <w:r>
        <w:rPr>
          <w:rtl w:val="0"/>
        </w:rPr>
        <w:t>ể</w:t>
      </w:r>
      <w:r>
        <w:rPr>
          <w:rtl w:val="0"/>
        </w:rPr>
        <w:t>u 2: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danh t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Đ</w:t>
      </w:r>
      <w:r>
        <w:rPr>
          <w:rtl w:val="0"/>
        </w:rPr>
        <w:t xml:space="preserve">T </w:t>
      </w:r>
      <w:r>
        <w:rPr>
          <w:rtl w:val="0"/>
        </w:rPr>
        <w:t>đó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"/>
        <w:gridCol w:w="964"/>
        <w:gridCol w:w="822"/>
        <w:gridCol w:w="750"/>
        <w:gridCol w:w="679"/>
        <w:gridCol w:w="1614"/>
        <w:gridCol w:w="629"/>
        <w:gridCol w:w="684"/>
        <w:gridCol w:w="689"/>
        <w:gridCol w:w="856"/>
        <w:gridCol w:w="1099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7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STT</w:t>
            </w:r>
          </w:p>
        </w:tc>
        <w:tc>
          <w:tcPr>
            <w:tcW w:type="dxa" w:w="9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ch 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  <w:lang w:val="it-IT"/>
              </w:rPr>
              <w:t>ì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</w:p>
        </w:tc>
        <w:tc>
          <w:tcPr>
            <w:tcW w:type="dxa" w:w="7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TKGD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Đị</w:t>
            </w:r>
            <w:r>
              <w:rPr>
                <w:shd w:val="nil" w:color="auto" w:fill="auto"/>
                <w:rtl w:val="0"/>
                <w:lang w:val="it-IT"/>
              </w:rPr>
              <w:t>a ch</w:t>
            </w:r>
            <w:r>
              <w:rPr>
                <w:shd w:val="nil" w:color="auto" w:fill="auto"/>
                <w:rtl w:val="0"/>
              </w:rPr>
              <w:t>ỉ</w:t>
            </w:r>
          </w:p>
        </w:tc>
        <w:tc>
          <w:tcPr>
            <w:tcW w:type="dxa" w:w="161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 đă</w:t>
            </w:r>
            <w:r>
              <w:rPr>
                <w:shd w:val="nil" w:color="auto" w:fill="auto"/>
                <w:rtl w:val="0"/>
                <w:lang w:val="da-DK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68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  <w:lang w:val="it-IT"/>
              </w:rPr>
              <w:t>i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hd w:val="nil" w:color="auto" w:fill="auto"/>
                <w:rtl w:val="0"/>
              </w:rPr>
              <w:t>đó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Qu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109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Ghi ch</w:t>
            </w:r>
            <w:r>
              <w:rPr>
                <w:shd w:val="nil" w:color="auto" w:fill="auto"/>
                <w:rtl w:val="0"/>
              </w:rPr>
              <w:t>ú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"/>
        <w:gridCol w:w="964"/>
        <w:gridCol w:w="822"/>
        <w:gridCol w:w="750"/>
        <w:gridCol w:w="679"/>
        <w:gridCol w:w="1614"/>
        <w:gridCol w:w="629"/>
        <w:gridCol w:w="684"/>
        <w:gridCol w:w="689"/>
        <w:gridCol w:w="856"/>
        <w:gridCol w:w="109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7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9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7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61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8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9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"/>
        <w:gridCol w:w="964"/>
        <w:gridCol w:w="822"/>
        <w:gridCol w:w="750"/>
        <w:gridCol w:w="679"/>
        <w:gridCol w:w="1614"/>
        <w:gridCol w:w="629"/>
        <w:gridCol w:w="684"/>
        <w:gridCol w:w="689"/>
        <w:gridCol w:w="856"/>
        <w:gridCol w:w="1099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9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6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ỹ</w:t>
            </w:r>
          </w:p>
        </w:tc>
        <w:tc>
          <w:tcPr>
            <w:tcW w:type="dxa" w:w="1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ườ</w:t>
            </w:r>
            <w:r>
              <w:rPr>
                <w:shd w:val="nil" w:color="auto" w:fill="auto"/>
                <w:rtl w:val="0"/>
                <w:lang w:val="it-IT"/>
              </w:rPr>
              <w:t>i Vi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de-DE"/>
              </w:rPr>
              <w:t>t Nam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Bi</w:t>
      </w:r>
      <w:r>
        <w:rPr>
          <w:rtl w:val="0"/>
        </w:rPr>
        <w:t>ể</w:t>
      </w:r>
      <w:r>
        <w:rPr>
          <w:rtl w:val="0"/>
        </w:rPr>
        <w:t>u 3: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danh t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Đ</w:t>
      </w:r>
      <w:r>
        <w:rPr>
          <w:rtl w:val="0"/>
        </w:rPr>
        <w:t xml:space="preserve">T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1035"/>
        <w:gridCol w:w="882"/>
        <w:gridCol w:w="802"/>
        <w:gridCol w:w="724"/>
        <w:gridCol w:w="1731"/>
        <w:gridCol w:w="676"/>
        <w:gridCol w:w="736"/>
        <w:gridCol w:w="1028"/>
        <w:gridCol w:w="1183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STT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ch h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Lo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h</w:t>
            </w:r>
            <w:r>
              <w:rPr>
                <w:shd w:val="nil" w:color="auto" w:fill="auto"/>
                <w:rtl w:val="0"/>
                <w:lang w:val="it-IT"/>
              </w:rPr>
              <w:t>ì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</w:p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TKGD</w:t>
            </w:r>
          </w:p>
        </w:tc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Đị</w:t>
            </w:r>
            <w:r>
              <w:rPr>
                <w:shd w:val="nil" w:color="auto" w:fill="auto"/>
                <w:rtl w:val="0"/>
                <w:lang w:val="it-IT"/>
              </w:rPr>
              <w:t>a ch</w:t>
            </w:r>
            <w:r>
              <w:rPr>
                <w:shd w:val="nil" w:color="auto" w:fill="auto"/>
                <w:rtl w:val="0"/>
              </w:rPr>
              <w:t>ỉ</w:t>
            </w:r>
          </w:p>
        </w:tc>
        <w:tc>
          <w:tcPr>
            <w:tcW w:type="dxa" w:w="17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 đă</w:t>
            </w:r>
            <w:r>
              <w:rPr>
                <w:shd w:val="nil" w:color="auto" w:fill="auto"/>
                <w:rtl w:val="0"/>
                <w:lang w:val="da-DK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73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  <w:lang w:val="it-IT"/>
              </w:rPr>
              <w:t>i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Qu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ch</w:t>
            </w:r>
          </w:p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Ghi ch</w:t>
            </w:r>
            <w:r>
              <w:rPr>
                <w:shd w:val="nil" w:color="auto" w:fill="auto"/>
                <w:rtl w:val="0"/>
              </w:rPr>
              <w:t>ú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1035"/>
        <w:gridCol w:w="882"/>
        <w:gridCol w:w="802"/>
        <w:gridCol w:w="724"/>
        <w:gridCol w:w="1731"/>
        <w:gridCol w:w="676"/>
        <w:gridCol w:w="736"/>
        <w:gridCol w:w="1028"/>
        <w:gridCol w:w="118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7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3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1035"/>
        <w:gridCol w:w="882"/>
        <w:gridCol w:w="802"/>
        <w:gridCol w:w="724"/>
        <w:gridCol w:w="1731"/>
        <w:gridCol w:w="676"/>
        <w:gridCol w:w="736"/>
        <w:gridCol w:w="1028"/>
        <w:gridCol w:w="1183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ỹ</w:t>
            </w:r>
          </w:p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ườ</w:t>
            </w:r>
            <w:r>
              <w:rPr>
                <w:shd w:val="nil" w:color="auto" w:fill="auto"/>
                <w:rtl w:val="0"/>
                <w:lang w:val="it-IT"/>
              </w:rPr>
              <w:t>i Vi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  <w:lang w:val="de-DE"/>
              </w:rPr>
              <w:t>t Nam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4. Danh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l</w:t>
      </w:r>
      <w:r>
        <w:rPr>
          <w:rtl w:val="0"/>
        </w:rPr>
        <w:t>ớ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kho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TCTLKCK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1"/>
        <w:gridCol w:w="567"/>
        <w:gridCol w:w="790"/>
        <w:gridCol w:w="2151"/>
        <w:gridCol w:w="169"/>
        <w:gridCol w:w="169"/>
        <w:gridCol w:w="890"/>
        <w:gridCol w:w="1472"/>
        <w:gridCol w:w="169"/>
        <w:gridCol w:w="1535"/>
        <w:gridCol w:w="169"/>
        <w:gridCol w:w="628"/>
      </w:tblGrid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6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STT</w:t>
            </w:r>
          </w:p>
        </w:tc>
        <w:tc>
          <w:tcPr>
            <w:tcW w:type="dxa" w:w="5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  <w:lang w:val="en-US"/>
              </w:rPr>
              <w:t>CK</w:t>
            </w:r>
          </w:p>
        </w:tc>
        <w:tc>
          <w:tcPr>
            <w:tcW w:type="dxa" w:w="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  <w:lang w:val="da-DK"/>
              </w:rPr>
              <w:t>ng k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tin c</w:t>
            </w:r>
            <w:r>
              <w:rPr>
                <w:shd w:val="nil" w:color="auto" w:fill="auto"/>
                <w:rtl w:val="0"/>
              </w:rPr>
              <w:t>ổ đô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tin c</w:t>
            </w:r>
            <w:r>
              <w:rPr>
                <w:shd w:val="nil" w:color="auto" w:fill="auto"/>
                <w:rtl w:val="0"/>
              </w:rPr>
              <w:t>ổ đô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  <w:lang w:val="en-US"/>
              </w:rPr>
              <w:t>ng tin c</w:t>
            </w:r>
            <w:r>
              <w:rPr>
                <w:shd w:val="nil" w:color="auto" w:fill="auto"/>
                <w:rtl w:val="0"/>
              </w:rPr>
              <w:t>ổ đô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8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Đầ</w:t>
            </w:r>
            <w:r>
              <w:rPr>
                <w:shd w:val="nil" w:color="auto" w:fill="auto"/>
                <w:rtl w:val="0"/>
              </w:rPr>
              <w:t>u k</w:t>
            </w:r>
            <w:r>
              <w:rPr>
                <w:shd w:val="nil" w:color="auto" w:fill="auto"/>
                <w:rtl w:val="0"/>
              </w:rPr>
              <w:t>ỳ</w:t>
            </w:r>
          </w:p>
        </w:tc>
        <w:tc>
          <w:tcPr>
            <w:tcW w:type="dxa" w:w="1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Đầ</w:t>
            </w:r>
            <w:r>
              <w:rPr>
                <w:shd w:val="nil" w:color="auto" w:fill="auto"/>
                <w:rtl w:val="0"/>
              </w:rPr>
              <w:t>u k</w:t>
            </w:r>
            <w:r>
              <w:rPr>
                <w:shd w:val="nil" w:color="auto" w:fill="auto"/>
                <w:rtl w:val="0"/>
              </w:rPr>
              <w:t>ỳ</w:t>
            </w:r>
          </w:p>
        </w:tc>
        <w:tc>
          <w:tcPr>
            <w:tcW w:type="dxa" w:w="1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Cu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i k</w:t>
            </w:r>
            <w:r>
              <w:rPr>
                <w:shd w:val="nil" w:color="auto" w:fill="auto"/>
                <w:rtl w:val="0"/>
              </w:rPr>
              <w:t>ỳ</w:t>
            </w:r>
          </w:p>
        </w:tc>
        <w:tc>
          <w:tcPr>
            <w:tcW w:type="dxa" w:w="1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Cu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i k</w:t>
            </w:r>
            <w:r>
              <w:rPr>
                <w:shd w:val="nil" w:color="auto" w:fill="auto"/>
                <w:rtl w:val="0"/>
              </w:rPr>
              <w:t>ỳ</w:t>
            </w:r>
          </w:p>
        </w:tc>
        <w:tc>
          <w:tcPr>
            <w:tcW w:type="dxa" w:w="6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Ghi ch</w:t>
            </w:r>
            <w:r>
              <w:rPr>
                <w:shd w:val="nil" w:color="auto" w:fill="auto"/>
                <w:rtl w:val="0"/>
              </w:rPr>
              <w:t>ú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8"/>
        <w:gridCol w:w="581"/>
        <w:gridCol w:w="810"/>
        <w:gridCol w:w="722"/>
        <w:gridCol w:w="916"/>
        <w:gridCol w:w="719"/>
        <w:gridCol w:w="913"/>
        <w:gridCol w:w="1176"/>
        <w:gridCol w:w="485"/>
        <w:gridCol w:w="1245"/>
        <w:gridCol w:w="481"/>
        <w:gridCol w:w="644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fr-FR"/>
              </w:rPr>
              <w:t>n c</w:t>
            </w:r>
            <w:r>
              <w:rPr>
                <w:shd w:val="nil" w:color="auto" w:fill="auto"/>
                <w:rtl w:val="0"/>
              </w:rPr>
              <w:t>ổ đô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91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 Đă</w:t>
            </w:r>
            <w:r>
              <w:rPr>
                <w:shd w:val="nil" w:color="auto" w:fill="auto"/>
                <w:rtl w:val="0"/>
                <w:lang w:val="da-DK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71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  <w:lang w:val="fr-FR"/>
              </w:rPr>
              <w:t>à</w:t>
            </w:r>
            <w:r>
              <w:rPr>
                <w:shd w:val="nil" w:color="auto" w:fill="auto"/>
                <w:rtl w:val="0"/>
                <w:lang w:val="en-US"/>
              </w:rPr>
              <w:t>y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9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Đị</w:t>
            </w:r>
            <w:r>
              <w:rPr>
                <w:shd w:val="nil" w:color="auto" w:fill="auto"/>
                <w:rtl w:val="0"/>
                <w:lang w:val="it-IT"/>
              </w:rPr>
              <w:t>a ch</w:t>
            </w:r>
            <w:r>
              <w:rPr>
                <w:shd w:val="nil" w:color="auto" w:fill="auto"/>
                <w:rtl w:val="0"/>
              </w:rPr>
              <w:t xml:space="preserve">ỉ </w:t>
            </w:r>
            <w:r>
              <w:rPr>
                <w:shd w:val="nil" w:color="auto" w:fill="auto"/>
                <w:rtl w:val="0"/>
              </w:rPr>
              <w:t>li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ệ</w:t>
            </w:r>
          </w:p>
        </w:tc>
        <w:tc>
          <w:tcPr>
            <w:tcW w:type="dxa" w:w="11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>ng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48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ỷ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 xml:space="preserve">ệ </w:t>
            </w:r>
            <w:r>
              <w:rPr>
                <w:shd w:val="nil" w:color="auto" w:fill="auto"/>
                <w:rtl w:val="0"/>
              </w:rPr>
              <w:t>%</w:t>
            </w:r>
          </w:p>
        </w:tc>
        <w:tc>
          <w:tcPr>
            <w:tcW w:type="dxa" w:w="124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ượ</w:t>
            </w:r>
            <w:r>
              <w:rPr>
                <w:shd w:val="nil" w:color="auto" w:fill="auto"/>
                <w:rtl w:val="0"/>
                <w:lang w:val="en-US"/>
              </w:rPr>
              <w:t>ng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  <w:lang w:val="da-DK"/>
              </w:rPr>
              <w:t>ng kho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ữ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48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ỷ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 xml:space="preserve">ệ </w:t>
            </w:r>
            <w:r>
              <w:rPr>
                <w:shd w:val="nil" w:color="auto" w:fill="auto"/>
                <w:rtl w:val="0"/>
              </w:rPr>
              <w:t>%</w:t>
            </w:r>
          </w:p>
        </w:tc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8"/>
        <w:gridCol w:w="581"/>
        <w:gridCol w:w="810"/>
        <w:gridCol w:w="722"/>
        <w:gridCol w:w="916"/>
        <w:gridCol w:w="719"/>
        <w:gridCol w:w="913"/>
        <w:gridCol w:w="1176"/>
        <w:gridCol w:w="485"/>
        <w:gridCol w:w="1245"/>
        <w:gridCol w:w="481"/>
        <w:gridCol w:w="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58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81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7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91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71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9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117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48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124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48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64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0"/>
        <w:gridCol w:w="4990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6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Nh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u: VT, (...b)</w:t>
            </w:r>
          </w:p>
        </w:tc>
        <w:tc>
          <w:tcPr>
            <w:tcW w:type="dxa" w:w="49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NG TY 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U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Ù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Ừ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v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ghi r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bookmarkStart w:name="chuong_pl_8" w:id="63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  <w:lang w:val="ru-RU"/>
        </w:rPr>
        <w:t>03: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o th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ng</w:t>
      </w:r>
      <w:bookmarkEnd w:id="63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9"/>
        <w:gridCol w:w="5021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NG TY 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U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Ù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Ừ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</w:t>
            </w:r>
          </w:p>
        </w:tc>
        <w:tc>
          <w:tcPr>
            <w:tcW w:type="dxa" w:w="5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9"/>
        <w:gridCol w:w="5021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 xml:space="preserve">    </w:t>
            </w:r>
            <w:r>
              <w:rPr>
                <w:shd w:val="nil" w:color="auto" w:fill="auto"/>
                <w:rtl w:val="0"/>
              </w:rPr>
              <w:t>/BC-....</w:t>
            </w:r>
          </w:p>
        </w:tc>
        <w:tc>
          <w:tcPr>
            <w:tcW w:type="dxa" w:w="5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......,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.....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ng .....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......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 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  <w:lang w:val="it-IT"/>
        </w:rPr>
        <w:t>Gi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 giao d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  <w:lang w:val="en-US"/>
        </w:rPr>
        <w:t>ch th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ng .........../n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m.........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  <w:lang w:val="de-DE"/>
        </w:rPr>
        <w:t>nh g</w:t>
      </w:r>
      <w:r>
        <w:rPr>
          <w:rtl w:val="0"/>
        </w:rPr>
        <w:t>ử</w:t>
      </w:r>
      <w:r>
        <w:rPr>
          <w:rtl w:val="0"/>
          <w:lang w:val="it-IT"/>
        </w:rPr>
        <w:t>i: ............................................................</w:t>
      </w:r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s-ES_tradnl"/>
        </w:rPr>
        <w:t>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c</w:t>
      </w:r>
      <w:r>
        <w:rPr>
          <w:rtl w:val="0"/>
        </w:rPr>
        <w:t>ấ</w:t>
      </w:r>
      <w:r>
        <w:rPr>
          <w:rtl w:val="0"/>
          <w:lang w:val="nl-NL"/>
        </w:rPr>
        <w:t>p m</w:t>
      </w:r>
      <w:r>
        <w:rPr>
          <w:rtl w:val="0"/>
          <w:lang w:val="pt-PT"/>
        </w:rPr>
        <w:t xml:space="preserve">ã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da-DK"/>
        </w:rPr>
        <w:t>ng kho</w:t>
      </w:r>
      <w:r>
        <w:rPr>
          <w:rtl w:val="0"/>
        </w:rPr>
        <w:t>á</w:t>
      </w:r>
      <w:r>
        <w:rPr>
          <w:rtl w:val="0"/>
        </w:rPr>
        <w:t>n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6"/>
        <w:gridCol w:w="1520"/>
        <w:gridCol w:w="1205"/>
        <w:gridCol w:w="1415"/>
        <w:gridCol w:w="985"/>
        <w:gridCol w:w="1517"/>
        <w:gridCol w:w="1237"/>
        <w:gridCol w:w="815"/>
      </w:tblGrid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151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p 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2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t h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nh</w:t>
            </w:r>
          </w:p>
        </w:tc>
        <w:tc>
          <w:tcPr>
            <w:tcW w:type="dxa" w:w="141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ề</w:t>
            </w:r>
            <w:r>
              <w:rPr>
                <w:b w:val="1"/>
                <w:bCs w:val="1"/>
                <w:shd w:val="nil" w:color="auto" w:fill="auto"/>
                <w:rtl w:val="0"/>
              </w:rPr>
              <w:t>u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, SLCK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đă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TCPH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(*)</w:t>
            </w:r>
          </w:p>
        </w:tc>
        <w:tc>
          <w:tcPr>
            <w:tcW w:type="dxa" w:w="98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Đị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ỉ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TCPH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 trong n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c do VSD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</w:p>
        </w:tc>
        <w:tc>
          <w:tcPr>
            <w:tcW w:type="dxa" w:w="12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ISIN do VSD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</w:p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Ghi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6"/>
        <w:gridCol w:w="1520"/>
        <w:gridCol w:w="1205"/>
        <w:gridCol w:w="1415"/>
        <w:gridCol w:w="985"/>
        <w:gridCol w:w="1517"/>
        <w:gridCol w:w="1237"/>
        <w:gridCol w:w="81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4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12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(*) 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p TCPH ch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đă</w:t>
      </w:r>
      <w:r>
        <w:rPr>
          <w:i w:val="1"/>
          <w:iCs w:val="1"/>
          <w:rtl w:val="0"/>
        </w:rPr>
        <w:t>ng k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TCTLKCK h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to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ng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p lo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kho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l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i phi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 xml:space="preserve">u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 c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ể</w:t>
      </w:r>
    </w:p>
    <w:p>
      <w:pPr>
        <w:pStyle w:val="Normal.0"/>
        <w:spacing w:before="120" w:after="100"/>
      </w:pPr>
      <w:r>
        <w:rPr>
          <w:rtl w:val="0"/>
        </w:rPr>
        <w:t>2.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</w:t>
      </w: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1"/>
        <w:gridCol w:w="5358"/>
        <w:gridCol w:w="163"/>
        <w:gridCol w:w="164"/>
        <w:gridCol w:w="163"/>
        <w:gridCol w:w="164"/>
        <w:gridCol w:w="2353"/>
        <w:gridCol w:w="163"/>
      </w:tblGrid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TVBT</w:t>
            </w:r>
          </w:p>
        </w:tc>
        <w:tc>
          <w:tcPr>
            <w:tcW w:type="dxa" w:w="53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tin 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tin 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tin 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tin 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tin 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2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n vi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n vi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4"/>
        <w:gridCol w:w="1377"/>
        <w:gridCol w:w="1013"/>
        <w:gridCol w:w="817"/>
        <w:gridCol w:w="954"/>
        <w:gridCol w:w="1222"/>
        <w:gridCol w:w="1294"/>
        <w:gridCol w:w="1149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ọ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 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10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 Đ</w:t>
            </w:r>
            <w:r>
              <w:rPr>
                <w:b w:val="1"/>
                <w:bCs w:val="1"/>
                <w:shd w:val="nil" w:color="auto" w:fill="auto"/>
                <w:rtl w:val="0"/>
              </w:rPr>
              <w:t>KSH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</w:p>
        </w:tc>
        <w:tc>
          <w:tcPr>
            <w:tcW w:type="dxa" w:w="95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TKGD</w:t>
            </w:r>
          </w:p>
        </w:tc>
        <w:tc>
          <w:tcPr>
            <w:tcW w:type="dxa" w:w="122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TKKQ</w:t>
            </w:r>
          </w:p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%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ử 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s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n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qu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ỹ</w:t>
            </w:r>
          </w:p>
        </w:tc>
        <w:tc>
          <w:tcPr>
            <w:tcW w:type="dxa" w:w="114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i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70"/>
        <w:gridCol w:w="155"/>
        <w:gridCol w:w="156"/>
        <w:gridCol w:w="156"/>
        <w:gridCol w:w="155"/>
        <w:gridCol w:w="156"/>
        <w:gridCol w:w="156"/>
        <w:gridCol w:w="156"/>
      </w:tblGrid>
      <w:tr>
        <w:tblPrEx>
          <w:shd w:val="clear" w:color="auto" w:fill="ced7e7"/>
        </w:tblPrEx>
        <w:trPr>
          <w:trHeight w:val="5410" w:hRule="atLeast"/>
        </w:trPr>
        <w:tc>
          <w:tcPr>
            <w:tcW w:type="dxa" w:w="82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001 - CTCP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001 - CTCP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001 - CTCP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001 - CTCP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001 - CTCP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001 - CTCP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001 - CTCP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001 - CTCP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4"/>
        <w:gridCol w:w="1377"/>
        <w:gridCol w:w="1013"/>
        <w:gridCol w:w="817"/>
        <w:gridCol w:w="954"/>
        <w:gridCol w:w="1222"/>
        <w:gridCol w:w="1294"/>
        <w:gridCol w:w="114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1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2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4"/>
        <w:gridCol w:w="1377"/>
        <w:gridCol w:w="1013"/>
        <w:gridCol w:w="817"/>
        <w:gridCol w:w="954"/>
        <w:gridCol w:w="1222"/>
        <w:gridCol w:w="1294"/>
        <w:gridCol w:w="114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1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2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4"/>
        <w:gridCol w:w="1377"/>
        <w:gridCol w:w="1013"/>
        <w:gridCol w:w="817"/>
        <w:gridCol w:w="954"/>
        <w:gridCol w:w="1222"/>
        <w:gridCol w:w="1294"/>
        <w:gridCol w:w="114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1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3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2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70"/>
        <w:gridCol w:w="155"/>
        <w:gridCol w:w="156"/>
        <w:gridCol w:w="156"/>
        <w:gridCol w:w="155"/>
        <w:gridCol w:w="156"/>
        <w:gridCol w:w="156"/>
        <w:gridCol w:w="156"/>
      </w:tblGrid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827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002 -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 TNHH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002 -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 TNHH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002 -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 TNHH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002 -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 TNHH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002 -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 TNHH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002 -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 TNHH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002 -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 TNHH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002 -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ty TNHH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4"/>
        <w:gridCol w:w="1377"/>
        <w:gridCol w:w="1013"/>
        <w:gridCol w:w="817"/>
        <w:gridCol w:w="954"/>
        <w:gridCol w:w="1222"/>
        <w:gridCol w:w="1294"/>
        <w:gridCol w:w="114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1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2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4"/>
        <w:gridCol w:w="1377"/>
        <w:gridCol w:w="1013"/>
        <w:gridCol w:w="817"/>
        <w:gridCol w:w="954"/>
        <w:gridCol w:w="1222"/>
        <w:gridCol w:w="1294"/>
        <w:gridCol w:w="114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1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2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4"/>
        <w:gridCol w:w="1377"/>
        <w:gridCol w:w="1013"/>
        <w:gridCol w:w="817"/>
        <w:gridCol w:w="954"/>
        <w:gridCol w:w="1222"/>
        <w:gridCol w:w="1294"/>
        <w:gridCol w:w="114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1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3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01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2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3.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thanh to</w:t>
      </w:r>
      <w:r>
        <w:rPr>
          <w:rtl w:val="0"/>
        </w:rPr>
        <w:t>á</w:t>
      </w:r>
      <w:r>
        <w:rPr>
          <w:rtl w:val="0"/>
        </w:rPr>
        <w:t>n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0"/>
        <w:gridCol w:w="1353"/>
        <w:gridCol w:w="1165"/>
        <w:gridCol w:w="1383"/>
        <w:gridCol w:w="1491"/>
        <w:gridCol w:w="1097"/>
        <w:gridCol w:w="80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TVBT</w:t>
            </w:r>
          </w:p>
        </w:tc>
        <w:tc>
          <w:tcPr>
            <w:tcW w:type="dxa" w:w="116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n TVBT</w:t>
            </w:r>
          </w:p>
        </w:tc>
        <w:tc>
          <w:tcPr>
            <w:tcW w:type="dxa" w:w="138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 m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t kh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ả 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thanh to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49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ti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ề</w:t>
            </w:r>
            <w:r>
              <w:rPr>
                <w:b w:val="1"/>
                <w:bCs w:val="1"/>
                <w:shd w:val="nil" w:color="auto" w:fill="auto"/>
                <w:rtl w:val="0"/>
              </w:rPr>
              <w:t>n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ử 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0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ử 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Ghi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0"/>
        <w:gridCol w:w="1353"/>
        <w:gridCol w:w="1165"/>
        <w:gridCol w:w="1383"/>
        <w:gridCol w:w="1491"/>
        <w:gridCol w:w="1097"/>
        <w:gridCol w:w="8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3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14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10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7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4. T</w:t>
      </w:r>
      <w:r>
        <w:rPr>
          <w:rtl w:val="0"/>
        </w:rPr>
        <w:t>ổ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danh m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theo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ủ</w:t>
      </w:r>
      <w:r>
        <w:rPr>
          <w:rtl w:val="0"/>
        </w:rPr>
        <w:t>a to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2613"/>
        <w:gridCol w:w="2305"/>
        <w:gridCol w:w="2381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y</w:t>
            </w:r>
          </w:p>
        </w:tc>
        <w:tc>
          <w:tcPr>
            <w:tcW w:type="dxa" w:w="261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Danh m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  <w:r>
              <w:rPr>
                <w:b w:val="1"/>
                <w:bCs w:val="1"/>
                <w:shd w:val="nil" w:color="auto" w:fill="auto"/>
                <w:rtl w:val="0"/>
              </w:rPr>
              <w:t>c 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s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n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qu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ỹ</w:t>
            </w:r>
          </w:p>
        </w:tc>
        <w:tc>
          <w:tcPr>
            <w:tcW w:type="dxa" w:w="23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ượ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s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n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qu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ỹ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s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n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qu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ỹ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2613"/>
        <w:gridCol w:w="2305"/>
        <w:gridCol w:w="23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61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1. Ti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</w:t>
            </w:r>
          </w:p>
        </w:tc>
        <w:tc>
          <w:tcPr>
            <w:tcW w:type="dxa" w:w="23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2613"/>
        <w:gridCol w:w="2305"/>
        <w:gridCol w:w="23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61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2. C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  <w:lang w:val="fr-FR"/>
              </w:rPr>
              <w:t>phi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23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2613"/>
        <w:gridCol w:w="2305"/>
        <w:gridCol w:w="23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61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  <w:lang w:val="fr-FR"/>
              </w:rPr>
              <w:t>n c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  <w:lang w:val="fr-FR"/>
              </w:rPr>
              <w:t>phi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23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2613"/>
        <w:gridCol w:w="2305"/>
        <w:gridCol w:w="23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61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3. Tr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fr-FR"/>
              </w:rPr>
              <w:t>i phi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23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2613"/>
        <w:gridCol w:w="2305"/>
        <w:gridCol w:w="23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6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 tr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fr-FR"/>
              </w:rPr>
              <w:t>i phi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23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5. Th</w:t>
      </w:r>
      <w:r>
        <w:rPr>
          <w:rtl w:val="0"/>
        </w:rPr>
        <w:t>ố</w:t>
      </w:r>
      <w:r>
        <w:rPr>
          <w:rtl w:val="0"/>
        </w:rPr>
        <w:t>ng k</w:t>
      </w:r>
      <w:r>
        <w:rPr>
          <w:rtl w:val="0"/>
        </w:rPr>
        <w:t xml:space="preserve">ê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t</w:t>
      </w:r>
      <w:r>
        <w:rPr>
          <w:rtl w:val="0"/>
        </w:rPr>
        <w:t xml:space="preserve">ỷ </w:t>
      </w:r>
      <w:r>
        <w:rPr>
          <w:rtl w:val="0"/>
        </w:rPr>
        <w:t>l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/vi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ù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theo ng</w:t>
      </w:r>
      <w:r>
        <w:rPr>
          <w:rtl w:val="0"/>
        </w:rPr>
        <w:t>à</w:t>
      </w:r>
      <w:r>
        <w:rPr>
          <w:rtl w:val="0"/>
        </w:rPr>
        <w:t>y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"/>
        <w:gridCol w:w="994"/>
        <w:gridCol w:w="907"/>
        <w:gridCol w:w="1061"/>
        <w:gridCol w:w="895"/>
        <w:gridCol w:w="1047"/>
        <w:gridCol w:w="1072"/>
        <w:gridCol w:w="1066"/>
        <w:gridCol w:w="745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y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TVBT</w:t>
            </w:r>
          </w:p>
        </w:tc>
        <w:tc>
          <w:tcPr>
            <w:tcW w:type="dxa" w:w="9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ọ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 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</w:p>
        </w:tc>
        <w:tc>
          <w:tcPr>
            <w:tcW w:type="dxa" w:w="106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 Đ</w:t>
            </w:r>
            <w:r>
              <w:rPr>
                <w:b w:val="1"/>
                <w:bCs w:val="1"/>
                <w:shd w:val="nil" w:color="auto" w:fill="auto"/>
                <w:rtl w:val="0"/>
              </w:rPr>
              <w:t>KSH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</w:p>
        </w:tc>
        <w:tc>
          <w:tcPr>
            <w:tcW w:type="dxa" w:w="104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TKGD</w:t>
            </w:r>
          </w:p>
        </w:tc>
        <w:tc>
          <w:tcPr>
            <w:tcW w:type="dxa" w:w="107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TKKQ</w:t>
            </w:r>
          </w:p>
        </w:tc>
        <w:tc>
          <w:tcPr>
            <w:tcW w:type="dxa" w:w="106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i dung vi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t qu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ả </w:t>
            </w:r>
            <w:r>
              <w:rPr>
                <w:b w:val="1"/>
                <w:bCs w:val="1"/>
                <w:shd w:val="nil" w:color="auto" w:fill="auto"/>
                <w:rtl w:val="0"/>
              </w:rPr>
              <w:t>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ử 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ý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"/>
        <w:gridCol w:w="994"/>
        <w:gridCol w:w="907"/>
        <w:gridCol w:w="1061"/>
        <w:gridCol w:w="895"/>
        <w:gridCol w:w="1047"/>
        <w:gridCol w:w="1072"/>
        <w:gridCol w:w="1066"/>
        <w:gridCol w:w="74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6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4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7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6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"/>
        <w:gridCol w:w="994"/>
        <w:gridCol w:w="907"/>
        <w:gridCol w:w="1061"/>
        <w:gridCol w:w="895"/>
        <w:gridCol w:w="1047"/>
        <w:gridCol w:w="1072"/>
        <w:gridCol w:w="1066"/>
        <w:gridCol w:w="74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i w:val="1"/>
          <w:iCs w:val="1"/>
          <w:rtl w:val="0"/>
        </w:rPr>
        <w:t>Ki</w:t>
      </w:r>
      <w:r>
        <w:rPr>
          <w:b w:val="1"/>
          <w:bCs w:val="1"/>
          <w:i w:val="1"/>
          <w:iCs w:val="1"/>
          <w:rtl w:val="0"/>
        </w:rPr>
        <w:t>ế</w:t>
      </w:r>
      <w:r>
        <w:rPr>
          <w:b w:val="1"/>
          <w:bCs w:val="1"/>
          <w:i w:val="1"/>
          <w:iCs w:val="1"/>
          <w:rtl w:val="0"/>
          <w:lang w:val="en-US"/>
        </w:rPr>
        <w:t>n ngh</w:t>
      </w:r>
      <w:r>
        <w:rPr>
          <w:b w:val="1"/>
          <w:bCs w:val="1"/>
          <w:i w:val="1"/>
          <w:iCs w:val="1"/>
          <w:rtl w:val="0"/>
        </w:rPr>
        <w:t>ị</w:t>
      </w:r>
    </w:p>
    <w:p>
      <w:pPr>
        <w:pStyle w:val="Normal.0"/>
        <w:spacing w:before="120" w:after="100"/>
      </w:pPr>
      <w:r>
        <w:rPr>
          <w:rtl w:val="0"/>
        </w:rPr>
        <w:t>1. V</w:t>
      </w:r>
      <w:r>
        <w:rPr>
          <w:rtl w:val="0"/>
        </w:rPr>
        <w:t xml:space="preserve">ề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  <w:lang w:val="pt-PT"/>
        </w:rPr>
        <w:t>nh s</w:t>
      </w:r>
      <w:r>
        <w:rPr>
          <w:rtl w:val="0"/>
        </w:rPr>
        <w:t>á</w:t>
      </w:r>
      <w:r>
        <w:rPr>
          <w:rtl w:val="0"/>
        </w:rPr>
        <w:t>ch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Ki</w:t>
      </w:r>
      <w:r>
        <w:rPr>
          <w:rtl w:val="0"/>
        </w:rPr>
        <w:t>ế</w:t>
      </w:r>
      <w:r>
        <w:rPr>
          <w:rtl w:val="0"/>
          <w:lang w:val="en-US"/>
        </w:rPr>
        <w:t>n ngh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5"/>
        <w:gridCol w:w="4625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0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Nh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  <w:lang w:val="fr-FR"/>
              </w:rPr>
              <w:t>ê</w:t>
            </w:r>
            <w:r>
              <w:rPr>
                <w:shd w:val="nil" w:color="auto" w:fill="auto"/>
                <w:rtl w:val="0"/>
              </w:rPr>
              <w:t>n;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u: VT, (...b)</w:t>
            </w:r>
          </w:p>
        </w:tc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NG TY 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U 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Ù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Ừ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v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ghi r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i w:val="1"/>
          <w:iCs w:val="1"/>
          <w:rtl w:val="0"/>
        </w:rPr>
        <w:t>Ghi ch</w:t>
      </w: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: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-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Ph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 xml:space="preserve">c II </w:t>
      </w:r>
      <w:r>
        <w:rPr>
          <w:i w:val="1"/>
          <w:iCs w:val="1"/>
          <w:rtl w:val="0"/>
        </w:rPr>
        <w:t>đư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c l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p theo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l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ch;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-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c l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p d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h</w:t>
      </w:r>
      <w:r>
        <w:rPr>
          <w:i w:val="1"/>
          <w:iCs w:val="1"/>
          <w:rtl w:val="0"/>
        </w:rPr>
        <w:t>ì</w:t>
      </w:r>
      <w:r>
        <w:rPr>
          <w:i w:val="1"/>
          <w:iCs w:val="1"/>
          <w:rtl w:val="0"/>
        </w:rPr>
        <w:t>nh th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file d</w:t>
      </w:r>
      <w:r>
        <w:rPr>
          <w:i w:val="1"/>
          <w:iCs w:val="1"/>
          <w:rtl w:val="0"/>
        </w:rPr>
        <w:t xml:space="preserve">ữ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 xml:space="preserve">u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 xml:space="preserve">ử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ó 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d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ng Ecxel (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i v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nh</w:t>
      </w:r>
      <w:r>
        <w:rPr>
          <w:i w:val="1"/>
          <w:iCs w:val="1"/>
          <w:rtl w:val="0"/>
        </w:rPr>
        <w:t>ữ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 xml:space="preserve">ữ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u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d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d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ng bi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u), font ch</w:t>
      </w:r>
      <w:r>
        <w:rPr>
          <w:i w:val="1"/>
          <w:iCs w:val="1"/>
          <w:rtl w:val="0"/>
        </w:rPr>
        <w:t xml:space="preserve">ữ </w:t>
      </w:r>
      <w:r>
        <w:rPr>
          <w:i w:val="1"/>
          <w:iCs w:val="1"/>
          <w:rtl w:val="0"/>
        </w:rPr>
        <w:t>Unicode Times New Roman.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