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3"/>
        <w:gridCol w:w="5695"/>
      </w:tblGrid>
      <w:tr w:rsidR="009A4F87" w14:paraId="38A27540" w14:textId="77777777" w:rsidTr="009A4F87">
        <w:tc>
          <w:tcPr>
            <w:tcW w:w="3348" w:type="dxa"/>
            <w:hideMark/>
          </w:tcPr>
          <w:p w14:paraId="038D49FF" w14:textId="77777777" w:rsidR="009A4F87" w:rsidRDefault="009A4F87">
            <w:pPr>
              <w:jc w:val="center"/>
              <w:rPr>
                <w:rFonts w:ascii="Arial" w:hAnsi="Arial" w:cs="Arial"/>
                <w:b/>
                <w:sz w:val="20"/>
                <w:szCs w:val="20"/>
              </w:rPr>
            </w:pPr>
            <w:r>
              <w:rPr>
                <w:rFonts w:ascii="Arial" w:hAnsi="Arial" w:cs="Arial"/>
                <w:b/>
                <w:sz w:val="20"/>
                <w:szCs w:val="20"/>
              </w:rPr>
              <w:t>BỘ TÀI CHÍNH</w:t>
            </w:r>
            <w:r>
              <w:rPr>
                <w:rFonts w:ascii="Arial" w:hAnsi="Arial" w:cs="Arial"/>
                <w:b/>
                <w:sz w:val="20"/>
                <w:szCs w:val="20"/>
              </w:rPr>
              <w:br/>
              <w:t>-------</w:t>
            </w:r>
          </w:p>
          <w:p w14:paraId="5E5C715C" w14:textId="77777777" w:rsidR="009A4F87" w:rsidRDefault="009A4F87">
            <w:pPr>
              <w:jc w:val="center"/>
              <w:rPr>
                <w:rFonts w:ascii="Arial" w:hAnsi="Arial" w:cs="Arial"/>
                <w:b/>
                <w:sz w:val="20"/>
                <w:szCs w:val="20"/>
              </w:rPr>
            </w:pPr>
            <w:r>
              <w:rPr>
                <w:rFonts w:ascii="Arial" w:hAnsi="Arial" w:cs="Arial"/>
                <w:sz w:val="20"/>
                <w:szCs w:val="20"/>
              </w:rPr>
              <w:t>Số: 26/2015/TT-BTC</w:t>
            </w:r>
          </w:p>
        </w:tc>
        <w:tc>
          <w:tcPr>
            <w:tcW w:w="6012" w:type="dxa"/>
            <w:hideMark/>
          </w:tcPr>
          <w:p w14:paraId="1B75B954" w14:textId="77777777" w:rsidR="009A4F87" w:rsidRDefault="009A4F87">
            <w:pPr>
              <w:jc w:val="center"/>
              <w:rPr>
                <w:rFonts w:ascii="Arial" w:hAnsi="Arial" w:cs="Arial"/>
                <w:b/>
                <w:sz w:val="20"/>
                <w:szCs w:val="20"/>
              </w:rPr>
            </w:pPr>
            <w:r>
              <w:rPr>
                <w:rFonts w:ascii="Arial" w:hAnsi="Arial" w:cs="Arial"/>
                <w:b/>
                <w:sz w:val="20"/>
                <w:szCs w:val="20"/>
              </w:rPr>
              <w:t>CỘNG HÒA XÃ HỘI CHỦ NGHĨA VIỆT NAM</w:t>
            </w:r>
            <w:r>
              <w:rPr>
                <w:rFonts w:ascii="Arial" w:hAnsi="Arial" w:cs="Arial"/>
                <w:b/>
                <w:sz w:val="20"/>
                <w:szCs w:val="20"/>
              </w:rPr>
              <w:br/>
              <w:t xml:space="preserve">Độc lập - Tự do - Hạnh phúc </w:t>
            </w:r>
            <w:r>
              <w:rPr>
                <w:rFonts w:ascii="Arial" w:hAnsi="Arial" w:cs="Arial"/>
                <w:b/>
                <w:sz w:val="20"/>
                <w:szCs w:val="20"/>
              </w:rPr>
              <w:br/>
              <w:t>---------------</w:t>
            </w:r>
          </w:p>
          <w:p w14:paraId="0E539C5E" w14:textId="77777777" w:rsidR="009A4F87" w:rsidRDefault="009A4F87">
            <w:pPr>
              <w:jc w:val="right"/>
              <w:rPr>
                <w:rFonts w:ascii="Arial" w:hAnsi="Arial" w:cs="Arial"/>
                <w:sz w:val="20"/>
                <w:szCs w:val="20"/>
              </w:rPr>
            </w:pPr>
            <w:r>
              <w:rPr>
                <w:rFonts w:ascii="Arial" w:hAnsi="Arial" w:cs="Arial"/>
                <w:i/>
                <w:sz w:val="20"/>
                <w:szCs w:val="20"/>
              </w:rPr>
              <w:t>Hà Nội, ngày 27 tháng 02 năm 2015</w:t>
            </w:r>
          </w:p>
        </w:tc>
      </w:tr>
    </w:tbl>
    <w:p w14:paraId="4B78ED71" w14:textId="77777777" w:rsidR="009A4F87" w:rsidRDefault="009A4F87" w:rsidP="009A4F87">
      <w:pPr>
        <w:rPr>
          <w:rFonts w:ascii="Arial" w:eastAsia="SimSun" w:hAnsi="Arial" w:cs="Arial"/>
          <w:sz w:val="20"/>
          <w:szCs w:val="20"/>
        </w:rPr>
      </w:pPr>
    </w:p>
    <w:p w14:paraId="7939F60B" w14:textId="77777777" w:rsidR="009A4F87" w:rsidRDefault="009A4F87" w:rsidP="009A4F87">
      <w:pPr>
        <w:rPr>
          <w:rFonts w:ascii="Arial" w:eastAsia="SimSun" w:hAnsi="Arial" w:cs="Arial"/>
          <w:sz w:val="20"/>
          <w:szCs w:val="20"/>
        </w:rPr>
      </w:pPr>
      <w:r>
        <w:rPr>
          <w:rFonts w:ascii="Arial" w:eastAsia="SimSun" w:hAnsi="Arial" w:cs="Arial"/>
          <w:sz w:val="20"/>
          <w:szCs w:val="20"/>
        </w:rPr>
        <w:t xml:space="preserve"> </w:t>
      </w:r>
    </w:p>
    <w:p w14:paraId="3FA0F6B6" w14:textId="77777777" w:rsidR="009A4F87" w:rsidRDefault="009A4F87" w:rsidP="009A4F87">
      <w:pPr>
        <w:jc w:val="center"/>
        <w:rPr>
          <w:rFonts w:ascii="Arial" w:eastAsia="SimSun" w:hAnsi="Arial" w:cs="Arial"/>
          <w:b/>
          <w:sz w:val="20"/>
          <w:szCs w:val="20"/>
        </w:rPr>
      </w:pPr>
      <w:r>
        <w:rPr>
          <w:rFonts w:ascii="Arial" w:eastAsia="SimSun" w:hAnsi="Arial" w:cs="Arial"/>
          <w:b/>
          <w:sz w:val="20"/>
          <w:szCs w:val="20"/>
        </w:rPr>
        <w:t>THÔNG TƯ</w:t>
      </w:r>
    </w:p>
    <w:p w14:paraId="1D25818E" w14:textId="77777777" w:rsidR="009A4F87" w:rsidRDefault="009A4F87" w:rsidP="009A4F87">
      <w:pPr>
        <w:jc w:val="center"/>
        <w:rPr>
          <w:rFonts w:ascii="Arial" w:eastAsia="SimSun" w:hAnsi="Arial" w:cs="Arial"/>
          <w:b/>
          <w:sz w:val="20"/>
          <w:szCs w:val="20"/>
        </w:rPr>
      </w:pPr>
      <w:r>
        <w:rPr>
          <w:rFonts w:ascii="Arial" w:eastAsia="SimSun" w:hAnsi="Arial" w:cs="Arial"/>
          <w:b/>
          <w:sz w:val="20"/>
          <w:szCs w:val="20"/>
        </w:rPr>
        <w:t>HƯỚNG DẪN VỀ THUẾ GIÁ TRỊ GIA TĂNG VÀ QUẢN LÝ THUẾ TẠI NGHỊ ĐỊNH SỐ 12/2015/NĐ-CP NGÀY 12 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14:paraId="42E7EB78" w14:textId="77777777" w:rsidR="009A4F87" w:rsidRDefault="009A4F87" w:rsidP="009A4F87">
      <w:pPr>
        <w:jc w:val="center"/>
        <w:rPr>
          <w:rFonts w:ascii="Arial" w:hAnsi="Arial" w:cs="Arial"/>
          <w:sz w:val="20"/>
          <w:szCs w:val="20"/>
        </w:rPr>
      </w:pPr>
    </w:p>
    <w:p w14:paraId="56412DFD"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Căn cứ Luật Quản lý thuế số 78/2006/QH11 và Luật số 21/2012/QH13 sửa đổi, bổ sung một số điều của Luật Quản lý thuế;</w:t>
      </w:r>
    </w:p>
    <w:p w14:paraId="1D8E231F"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Căn cứ Luật thuế giá trị gia tăng số 13/2008/QH12 và Luật số 31/2013/QH13 sửa đổi, bổ sung một số điều của Luật thuế giá trị gia tăng;</w:t>
      </w:r>
    </w:p>
    <w:p w14:paraId="70E6186D"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Căn cứ Luật số 71/2014/QH13 sửa đổi, bổ sung một số điều của các Luật về thuế;</w:t>
      </w:r>
    </w:p>
    <w:p w14:paraId="46440855"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Căn cứ Nghị định số 51/2010/NĐ-CP ngày 14/5/2010 và Nghị định số 04/2014/NĐ-CP ngày 17/1/2014 của Chính phủ quy định về hóa đơn bán hàng hóa, cung ứng dịch vụ;</w:t>
      </w:r>
    </w:p>
    <w:p w14:paraId="3B006CBC"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Căn cứ Nghị định số 83/2013/NĐ-CP ngày 22/7/2013 của Chính phủ quy định chi tiết thi hành một số điều của Luật Quản lý thuế và Luật sửa đổi, bổ sung một số điều của Luật Quản lý thuế;</w:t>
      </w:r>
    </w:p>
    <w:p w14:paraId="1A58498E"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Căn cứ Nghị định số 209/2013/NĐ-CP ngày 18/12/2013 của Chính phủ quy định chi tiết và hướng dẫn thi hành một số điều của Luật thuế giá trị gia tăng;</w:t>
      </w:r>
    </w:p>
    <w:p w14:paraId="480A9D95"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Căn cứ Nghị định số 12/2015/NĐ-CP ngày 12/2/2015 của Chính phủ quy định chi tiết thi hành Luật sửa đổi, bổ sung một số điều của các Luật về thuế và sửa đổi, bổ sung một số điều của các Nghị định về thuế;</w:t>
      </w:r>
    </w:p>
    <w:p w14:paraId="5A4C4487"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Căn cứ Nghị định số 215/2013/NĐ-CP ngày 23/12/2013 của Chính phủ quy định chức năng, nhiệm vụ, quyền hạn và cơ cấu tổ chức của Bộ Tài chính;</w:t>
      </w:r>
    </w:p>
    <w:p w14:paraId="3AEDE25C"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Theo đề nghị của Tổng cục trưởng Tổng cục Thuế,</w:t>
      </w:r>
    </w:p>
    <w:p w14:paraId="5311ABCD" w14:textId="77777777" w:rsidR="009A4F87" w:rsidRDefault="009A4F87" w:rsidP="009A4F87">
      <w:pPr>
        <w:spacing w:after="120"/>
        <w:ind w:firstLine="720"/>
        <w:jc w:val="both"/>
        <w:rPr>
          <w:rFonts w:ascii="Arial" w:eastAsia="SimSun" w:hAnsi="Arial" w:cs="Arial"/>
          <w:i/>
          <w:sz w:val="20"/>
          <w:szCs w:val="20"/>
        </w:rPr>
      </w:pPr>
      <w:r>
        <w:rPr>
          <w:rFonts w:ascii="Arial" w:eastAsia="SimSun" w:hAnsi="Arial" w:cs="Arial"/>
          <w:i/>
          <w:sz w:val="20"/>
          <w:szCs w:val="20"/>
        </w:rPr>
        <w:t>Bộ trưởng Bộ Tài chính hướng dẫn thực hiện về thuế giá trị gia tăng (GTGT), quản lý thuế và hóa đơn bán hàng hóa, cung ứng dịch vụ như sau:</w:t>
      </w:r>
    </w:p>
    <w:p w14:paraId="67F8C324"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Điều 1. Sửa đổi, bổ sung một số điều của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 (đã được sửa đổi, bổ sung theo Thông tư số 119/2014/TT-BTC ngày 25/8/2014 và Thông tư số 151/2014/TT-BTC ngày 10/10/2014 của Bộ Tài chính) như sau:</w:t>
      </w:r>
    </w:p>
    <w:p w14:paraId="4D633CF4"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 xml:space="preserve">1. Sửa đổi khoản 1 Điều 4 như sau: </w:t>
      </w:r>
    </w:p>
    <w:p w14:paraId="732646A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14:paraId="1E71C26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Các sản phẩm mới qua sơ chế thông thường là sản phẩm mới được làm sạch, phơi, sấy khô, bóc vỏ, xay, xay bỏ vỏ, xát bỏ vỏ, tách hạt, tách cọng, cắt,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14:paraId="0D3C7AF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Ví dụ 2: Công ty A ký hợp đồng nuôi heo với Công ty B theo hình thức Công ty B giao cho Công ty A con giống, thức ăn, thuốc thú y, Công ty A giao, bán cho Công ty B sản phẩm heo thì tiền công nuôi heo nhận từ Công ty B và sản phẩm heo Công ty A giao, bán cho Công ty B thuộc đối tượng không chịu thuế GTGT. </w:t>
      </w:r>
    </w:p>
    <w:p w14:paraId="6446CF8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lastRenderedPageBreak/>
        <w:t>Sản phẩm heo Công ty B nhận lại từ Công ty A: nếu Công ty B bán ra heo (nguyên con) hoặc thịt heo tươi sống thì sản phẩm bán ra thuộc đối tượng không chịu thuế GTGT, nếu Công ty B đưa heo vào chế biến thành sản phẩm như xúc xích, thịt hun khói, giò hoặc thành các sản phẩm chế biến khác thì sản phẩm bán ra thuộc đối tượng chịu thuế GTGT theo quy định.”</w:t>
      </w:r>
    </w:p>
    <w:p w14:paraId="0B94D19B"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 xml:space="preserve">2. Bổ sung khoản 3a vào Điều 4 như sau: </w:t>
      </w:r>
    </w:p>
    <w:p w14:paraId="6739CD1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“3a. Phân bón là các loại phân hữu cơ và phân vô cơ như: phân lân, phân đạm (urê), phân NPK, phân đạm hỗn hợp, phân phốt phát, bồ tạt; phân vi sinh và các loại phân bón khác;</w:t>
      </w:r>
    </w:p>
    <w:p w14:paraId="2F7D1A5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Thức ăn cho gia súc, gia cầm, thủy sản và thức ăn cho vật nuôi khác, bao gồm các loại sản phẩm đã qua chế biến hoặc chưa qua chế biến như cám, bã, khô dầu các loại, bột cá, bột xương, bột tôm, các loại thức ăn khác dùng cho gia súc, gia cầm, thủy sản và vật nuôi khác, các chất phụ gia thức ăn chăn nuôi (như premix, hoạt chất và chất mang) theo quy định tại khoản 1 Điều 3 Nghị định số 08/2010/NĐ-CP ngày 5/2/2010 của Chính phủ về quản lý thức ăn chăn nuôi và khoản 2, khoản 3 Điều 1 Thông tư số 50/2014/TT-BNNPTNT ngày 24/12/2014 của Bộ Nông nghiệp và Phát triển nông thôn;</w:t>
      </w:r>
    </w:p>
    <w:p w14:paraId="6D6907B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Tàu đánh bắt xa bờ là tàu có công suất máy chính từ 90CV trở lên làm nghề khai thác hải sản hoặc dịch vụ hậu cần phục vụ khai thác hải sản; máy móc, thiết bị chuyên dùng phục vụ khai thác, bảo quản sản phẩm cho tàu cá có tổng công suất máy chính từ 90CV trở lên làm nghề khai thác hải sản hoặc dịch vụ hậu cần phục vụ khai thác hải sản;</w:t>
      </w:r>
    </w:p>
    <w:p w14:paraId="7159346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thu gom, bốc mía, lúa, rơm rạ trên đồng; máy ấp, nở trứng gia cầm; máy thu hoạch cỏ, máy đóng kiện rơm, cỏ; máy vắt sữa và các loại máy chuyên dùng khác.”</w:t>
      </w:r>
    </w:p>
    <w:p w14:paraId="063CD759"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3. Sửa đổi, bổ sung điểm a Khoản 8 Điều 4 (đã được sửa đổi, bổ sung tại Điều 8 Thông tư số 151/2014/TT-BTC ngày 10/10/2014 của Bộ Tài chính) như sau:</w:t>
      </w:r>
    </w:p>
    <w:p w14:paraId="671E292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“a) Dịch vụ cấp tín dụng gồm các hình thức: </w:t>
      </w:r>
    </w:p>
    <w:p w14:paraId="0B1DA36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Cho vay; </w:t>
      </w:r>
    </w:p>
    <w:p w14:paraId="0B11441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Chiết khấu, tái chiết khấu công cụ chuyển nhượng và các giấy tờ có giá khác; </w:t>
      </w:r>
    </w:p>
    <w:p w14:paraId="306CD76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Bảo lãnh ngân hàng;</w:t>
      </w:r>
    </w:p>
    <w:p w14:paraId="5A90701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Cho thuê tài chính; </w:t>
      </w:r>
    </w:p>
    <w:p w14:paraId="7229353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Phát hành thẻ tín dụng.</w:t>
      </w:r>
    </w:p>
    <w:p w14:paraId="31EB596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giá trị gia tăng (GTGT).</w:t>
      </w:r>
    </w:p>
    <w:p w14:paraId="2CD2410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Các khoản phí giao dịch thẻ thông thường không thuộc quy trình cấp tín dụng như phí cấp lại mã pin cho thẻ tín dụng, phí cung cấp bản sao hoá đơn giao dịch, phí đòi bồi hoàn khi sử dụng thẻ, phí thông báo mất cắp, thất lạc thẻ tín dụng, phí huỷ thẻ tín dụng, phí chuyển đổi loại thẻ tín dụng và các khoản phí khác thuộc đối tượng chịu thuế GTGT.</w:t>
      </w:r>
    </w:p>
    <w:p w14:paraId="191482C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Bao thanh toán trong nước; bao thanh toán quốc tế đối với các ngân hàng được phép thực hiện thanh toán quốc tế; </w:t>
      </w:r>
    </w:p>
    <w:p w14:paraId="42E8F33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Bán tài sản bảo đảm tiền vay do tổ chức tín dụng hoặc do cơ quan thi hành án hoặc bên đi vay vốn tự bán tài sản bảo đảm theo ủy quyền của bên cho vay để trả nợ khoản vay có bảo đảm, cụ thể: </w:t>
      </w:r>
    </w:p>
    <w:p w14:paraId="7DC75B4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Tài sản bảo đảm tiền vay được bán là tài sản thuộc giao dịch bảo đảm đã được đăng ký với cơ quan có thẩm quyền theo quy định của pháp luật về đăng ký giao dịch bảo đảm. </w:t>
      </w:r>
    </w:p>
    <w:p w14:paraId="6406560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Việc xử lý tài sản bảo đảm tiền vay thực hiện theo quy định của pháp luật về giao dịch bảo đảm.</w:t>
      </w:r>
    </w:p>
    <w:p w14:paraId="621F98F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lastRenderedPageBreak/>
        <w:t xml:space="preserve">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các bên thực hiện thủ tục bàn giao tài sản bảo đảm theo quy định của pháp luật thì không phải xuất hóa đơn GTGT. </w:t>
      </w:r>
    </w:p>
    <w:p w14:paraId="713C4C0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 </w:t>
      </w:r>
    </w:p>
    <w:p w14:paraId="313E15B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3: Tháng 3/2015, Doanh nghiệp A là cơ sở kinh doanh nộp thuế GTGT theo phương pháp khấu trừ thế chấp dây chuyền, máy móc thiết bị để vay vốn tại Ngân hàng B, thời gian vay là 1 năm (hạn trả nợ là ngày 31/3/2016). Đến ngày 31/3/2016, Doanh nghiệp A không có khả năng trả nợ và phải bàn giao tài sản cho Ngân hàng B thì khi bàn giao tài sản, Doanh nghiệp A không phải lập hóa đơn. Ngân hàng B bán tài sản bảo đảm tiền vay để thu hồi nợ thì tài sản bán ra thuộc đối tượng không chịu thuế GTGT.</w:t>
      </w:r>
    </w:p>
    <w:p w14:paraId="35D2FD1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Ví dụ 3a: Tháng 12/2014, Doanh nghiệp B là cơ sở kinh doanh nộp thuế GTGT theo phương pháp khấu trừ thế chấp nhà xưởng trên đất và quyền sử dụng đất để vay vốn tại Ngân hàng thương mại C, thời gian vay là 1 năm, hạn trả nợ là ngày 15/12/2016, Ngân hàng thương mại C và Doanh nghiệp B có đăng ký giao dịch bảo đảm (thế chấp nhà xưởng trên đất và quyền sử dụng đất) với cơ quan có thẩm quyền. Đến ngày 15/12/2016, Doanh nghiệp B không có khả năng trả nợ và Ngân hàng thương mại C có văn bản đồng ý giải chấp để Doanh nghiệp B được bán nhà xưởng để trả nợ ngân hàng, tháng 1/2017, doanh nghiệp B bán nhà xưởng để trả nợ Ngân hàng thì nhà xưởng bán thuộc đối tượng không chịu thuế GTGT. </w:t>
      </w:r>
    </w:p>
    <w:p w14:paraId="7A445AB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Dịch vụ cung cấp thông tin tín dụng do đơn vị, tổ chức thuộc Ngân hàng nhà nước cung cấp cho các tổ chức tín dụng để sử dụng trong hoạt động cấp tín dụng theo quy định của Luật Ngân hàng Nhà nước.</w:t>
      </w:r>
    </w:p>
    <w:p w14:paraId="2B59B00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 </w:t>
      </w:r>
    </w:p>
    <w:p w14:paraId="2AC3766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Hình thức cấp tín dụng khác theo quy định của pháp luật.”</w:t>
      </w:r>
    </w:p>
    <w:p w14:paraId="27A32B09"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4. Bổ sung điểm a.8, a.9 vào khoản 10 Điều 7 như sau:</w:t>
      </w:r>
    </w:p>
    <w:p w14:paraId="39B6C04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“a.8) Trường hợp cơ sở kinh doanh nhận góp vốn bằng quyền sử dụng đất của tổ chức, cá nhân theo quy định của pháp luật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 .</w:t>
      </w:r>
    </w:p>
    <w:p w14:paraId="32FB2CA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a.9) Trường hợp cơ sở kinh doanh bất động sản ký hợp đồng với hộ gia đình, cá nhân có đất nông nghiệp để hoán đổi đất nông nghiệp thành đất ở, việc hoán đổi này phù hợp với quy định của pháp luật về đất đai thì khi giao đất ở cho các hộ gia đình, cá nhân, giá tính thuế GTGT là giá chuyển nhượng trừ (-) giá đất được trừ theo quy định. Giá chuyển nhượng là giá đền bù tương ứng với diện tích đất nông nghiệp bị thu hồi theo phương án do cơ quan chức năng phê duyệt.”</w:t>
      </w:r>
    </w:p>
    <w:p w14:paraId="68EBBEE1"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5. Sửa đổi gạch đầu dòng thứ nhất Khoản 3 Điều 9 như sau:</w:t>
      </w:r>
    </w:p>
    <w:p w14:paraId="3706A5E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“3. Các trường hợp không áp dụng mức thuế suất 0% gồm: </w:t>
      </w:r>
    </w:p>
    <w:p w14:paraId="1516E1B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thuốc lá, rượu, bia nhập khẩu sau đó xuất khẩu; hàng hoá, dịch vụ cung cấp cho cá nhân không đăng ký kinh doanh trong khu phi thuế quan, trừ các trường hợp khác theo quy định của Thủ tướng Chính phủ. </w:t>
      </w:r>
    </w:p>
    <w:p w14:paraId="29DED53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lastRenderedPageBreak/>
        <w:t>Thuốc lá, rượu, bia nhập khẩu sau đó xuất khẩu thì khi xuất khẩu không phải tính thuế GTGT đầu ra nhưng không được khấu trừ thuế GTGT đầu vào.”</w:t>
      </w:r>
    </w:p>
    <w:p w14:paraId="64A5A838"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6. Sửa đổi khoản 2 Điều 10 như sau:</w:t>
      </w:r>
    </w:p>
    <w:p w14:paraId="42334A0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Quặng để sản xuất phân bón; thuốc phòng trừ sâu bệnh và chất kích thích tăng trưởng vật nuôi, cây trồng bao gồm:</w:t>
      </w:r>
    </w:p>
    <w:p w14:paraId="44AAE42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Quặng để sản xuất phân bón là các quặng làm nguyên liệu để sản xuất phân bón như quặng Apatít dùng để sản xuất phân lân, đất bùn làm phân vi sinh;</w:t>
      </w:r>
    </w:p>
    <w:p w14:paraId="6AFF733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Thuốc phòng trừ sâu bệnh bao gồm thuốc bảo vệ thực vật theo Danh mục thuốc bảo vệ thực vật do Bộ Nông nghiệp và Phát triển nông thôn ban hành và các loại thuốc phòng trừ sâu bệnh khác;</w:t>
      </w:r>
    </w:p>
    <w:p w14:paraId="64F34CD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 Các chất kích thích tăng trưởng vật nuôi, cây trồng.”</w:t>
      </w:r>
    </w:p>
    <w:p w14:paraId="64D86BF6"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7. Bãi bỏ khoản 3 và khoản 10 Điều 10.</w:t>
      </w:r>
    </w:p>
    <w:p w14:paraId="5DB2A69D"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8. Sửa đổi, bổ sung Khoản 11 Điều 10 như sau:</w:t>
      </w:r>
    </w:p>
    <w:p w14:paraId="29AEC49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“11.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p>
    <w:p w14:paraId="30B9338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Bông, băng, gạc y tế và băng vệ sinh y tế; thuốc phòng bệnh, chữa bệnh bao gồm thuốc thành phẩm, nguyên liệu làm thuốc, trừ thực phẩm chức năng; vắc-xin; sinh phẩm y tế, nước cất để pha chế thuốc tiêm, dịch truyền; mũ, quần áo, khẩu trang, săng mổ, bao tay, bao chi dưới, bao giày, khăn, găng tay chuyên dùng cho y tế, túi đặt ngực và chất làm đầy da (không bao gồm mỹ phẩm); vật tư hóa chất xét nghiệm, diệt khuẩn dùng trong y tế theo xác nhận của Bộ Y tế.”</w:t>
      </w:r>
    </w:p>
    <w:p w14:paraId="4BFB2F0A"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 xml:space="preserve">9. Sửa đổi, bổ sung Điều 14 như sau: </w:t>
      </w:r>
    </w:p>
    <w:p w14:paraId="7E4880C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Sửa đổi khoản 2 Điều 14 như sau:</w:t>
      </w:r>
    </w:p>
    <w:p w14:paraId="3E812C9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Thuế GTGT đầu vào của hàng hóa, dịch vụ (kể cả tài sản cố định) sử dụng đồng thời cho sản xuất, kinh doanh hàng hóa, dịch vụ chịu thuế và không chịu thuế GTGT thì chỉ được khấu trừ số thuế GTGT đầu vào của hàng hóa, dịch vụ dùng cho sản xuất, kinh doanh hàng 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doanh thu không phải kê khai, tính nộp thuế GTGT so với tổng doanh thu của hàng hóa, dịch vụ bán ra bao gồm cả doanh thu không phải kê khai, tính nộp thuế không hạch toán riêng được.</w:t>
      </w:r>
    </w:p>
    <w:p w14:paraId="7C98255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Cơ sở kinh doanh hàng hóa, dịch vụ chịu thuế và không chịu thuế GTGT hàng tháng/quý tạm phân bổ số thuế GTGT của hàng hóa, dịch vụ, tài sản cố định mua vào được khấu trừ trong tháng/quý, cuối năm cơ sở kinh doanh thực hiện tính phân bổ số thuế GTGT đầu vào được khấu trừ của năm để kê khai điều chỉnh thuế GTGT đầu vào đã tạm phân bổ khấu trừ theo tháng/quý.”</w:t>
      </w:r>
    </w:p>
    <w:p w14:paraId="73DCA8C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b) Bổ sung khoản 14a vào Điều 14 như sau: </w:t>
      </w:r>
    </w:p>
    <w:p w14:paraId="7343F35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“14a. Số thuế giá trị gia tăng đầu vào của hàng hóa, dịch vụ, tài sản cố định phục vụ cho sản xuất: phân bón, máy móc, thiết bị chuyên dùng phục vụ cho sản xuất nông nghiệp, tàu đánh bắt xa bờ, thức ăn gia súc, gia cầm, thủy sản và thức ăn cho vật nuôi khác tiêu thụ trong nước không được kê khai, khấu trừ mà tính vào chi phí được trừ khi xác định thu nhập chịu thuế thu nhập doanh nghiệp, trừ số thuế giá trị gia tăng của hàng hóa, dịch vụ, tài sản cố định mua vào thể hiện trên hóa đơn giá trị gia tăng, chứng từ nộp thuế GTGT khâu nhập khẩu phát sinh trước ngày 01 tháng 01 tháng 2015 đáp ứng điều kiện khấu trừ, hoàn thuế và thuộc diện hoàn thuế theo quy định tại Điều 18 Thông tư số 219/2013/TT-BTC ngày 31/12/2013 và Thông tư này.”</w:t>
      </w:r>
    </w:p>
    <w:p w14:paraId="10DC60F3"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 xml:space="preserve">10. Sửa đổi, bổ sung Điều 15 (đã được sửa đổi, bổ sung tại Thông tư số 119/2014/TT-BTC ngày 25/8/2014 và Thông tư số 151/2014/TT-BTC ngày 10/10/2014 của Bộ Tài chính) như sau: </w:t>
      </w:r>
    </w:p>
    <w:p w14:paraId="7180113B"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“Điều 15. Điều kiện khấu trừ thuế giá trị gia tăng đầu vào</w:t>
      </w:r>
    </w:p>
    <w:p w14:paraId="5922052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1. Có hóa đơn giá trị gia tăng hợp pháp của hàng hóa, dịch vụ mua vào hoặc chứng từ nộp thuế giá trị gia tăng khâu nhập khẩu hoặc chứng từ nộp thuế GTGT thay cho phía nước ngoài theo </w:t>
      </w:r>
      <w:r>
        <w:rPr>
          <w:rFonts w:ascii="Arial" w:hAnsi="Arial" w:cs="Arial"/>
          <w:sz w:val="20"/>
          <w:szCs w:val="20"/>
        </w:rPr>
        <w:lastRenderedPageBreak/>
        <w:t>hướng dẫn của Bộ Tài chính áp dụng đối với các tổ chức nước ngoài không có tư cách pháp nhân Việt Nam và cá nhân nước ngoài kinh doanh hoặc có thu nhập phát sinh tại Việt Nam.</w:t>
      </w:r>
    </w:p>
    <w:p w14:paraId="092CD22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Có chứng từ thanh toán không dùng tiền mặt đối với hàng hóa, dịch vụ mua vào (bao gồm cả hàng hóa nhập khẩu) từ hai mươi triệu đồng trở lên, trừ các trường hợp giá trị hàng hóa, dịch vụ nhập khẩu từng lần có giá trị dưới hai mươi triệu đồng, hàng hóa, dịch vụ mua vào từng lần theo hóa đơn dưới hai mươi triệu đồng theo giá đã có thuế GTGT và trường hợp cơ sở kinh doanh nhập khẩu hàng hóa là quà biếu, quà tặng của tổ chức, cá nhân ở nước ngoài.</w:t>
      </w:r>
    </w:p>
    <w:p w14:paraId="17862CD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Chứng từ thanh toán không dùng tiền mặt gồm chứng từ thanh toán qua ngân hàng và chứng từ thanh toán không dùng tiền mặt khác hướng dẫn tại khoản 3 và khoản 4 Điều này.</w:t>
      </w:r>
    </w:p>
    <w:p w14:paraId="1172AFF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w:t>
      </w:r>
      <w:r>
        <w:rPr>
          <w:rFonts w:ascii="Arial" w:eastAsia="Batang" w:hAnsi="Arial" w:cs="Arial"/>
          <w:sz w:val="20"/>
          <w:szCs w:val="20"/>
        </w:rPr>
        <w:t xml:space="preserve"> mua không cần phải đăng ký hoặc thông báo với cơ quan thuế tài khoản tiền vay tại các tổ chức tín dụng dùng để thanh toán cho nhà cung cấp</w:t>
      </w:r>
      <w:r>
        <w:rPr>
          <w:rFonts w:ascii="Arial" w:hAnsi="Arial" w:cs="Arial"/>
          <w:sz w:val="20"/>
          <w:szCs w:val="20"/>
        </w:rPr>
        <w:t>) 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14:paraId="77D630C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Các chứng từ bên mua nộp tiền mặt vào tài khoản của bên bán hoặc chứng từ thanh toán theo các hình thức không phù hợp với quy định của pháp luật hiện hành không đủ điều kiện để được khấu trừ, hoàn thuế GTGT đối với hàng hóa, dịch vụ mua vào từ hai mươi triệu đồng trở lên.</w:t>
      </w:r>
    </w:p>
    <w:p w14:paraId="6F1976F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b) Hàng hóa, dịch vụ mua vào từng lần theo hóa đơn từ hai mươi triệu đồng trở lên theo giá đã có thuế GTGT nếu không có chứng từ thanh toán qua ngân hàng thì không được khấu trừ. </w:t>
      </w:r>
    </w:p>
    <w:p w14:paraId="3EF6B32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giá trị gia tăng đầu vào. Trường hợp chưa có chứng từ thanh toán qua ngân hàng do chưa đến thời điểm thanh toán theo hợp đồng thì cơ sở kinh doanh vẫn được kê khai, khấu trừ thuế giá trị gia tăng đầu vào.</w:t>
      </w:r>
    </w:p>
    <w:p w14:paraId="1942F67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khi thanh toán, cơ sở kinh doanh không có chứng từ thanh toán qua ngân hàng thì cơ sở kinh doanh phải kê khai, điều chỉnh giảm số thuế GTGT đã được khấu trừ đối với phần giá trị hàng hóa, dịch vụ không có chứng từ thanh toán qua ngân hàng vào kỳ tính thuế phát sinh việc thanh toán bằng tiền mặt (kể cả trong trường hợp cơ quan thuế và các cơ quan chức năng đã có quyết định thanh tra, kiểm tra kỳ tính thuế có phát sinh thuế GTGT đã kê khai, khấu trừ).</w:t>
      </w:r>
    </w:p>
    <w:p w14:paraId="38F7232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4. Các trường hợp thanh toán không dùng tiền mặt khác để khấu trừ thuế GTGT đầu vào gồm:</w:t>
      </w:r>
    </w:p>
    <w:p w14:paraId="7C0B7D4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14:paraId="5FD21A4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14:paraId="1A462D6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p>
    <w:p w14:paraId="11493AB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lastRenderedPageBreak/>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w:t>
      </w:r>
    </w:p>
    <w:p w14:paraId="415F287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14:paraId="7AA06C3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68:</w:t>
      </w:r>
    </w:p>
    <w:p w14:paraId="7763838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14:paraId="3FB9589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69:</w:t>
      </w:r>
    </w:p>
    <w:p w14:paraId="44875EA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Công ty C thực hiện ký hợp đồng kinh tế với Công ty D về việc cung cấp hàng hóa và Công ty D đang còn nợ tiền hàng của Công ty C.</w:t>
      </w:r>
    </w:p>
    <w:p w14:paraId="184744C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14:paraId="01262F6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14:paraId="30F65E1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5. Trường hợp mua hàng hóa, dịch vụ của một nhà cung cấp có giá trị dưới hai mươi triệu đồng nhưng mua nhiều lần trong cùng một ngày có tổng giá trị từ hai mươi triệu đồng trở lên thì chỉ được khấu trừ thuế đối với trường hợp có chứng từ thanh toán qua ngân hàng. Nhà cung cấp là người nộp thuế có mã số thuế, trực tiếp khai và nộp thuế GTGT.</w:t>
      </w:r>
    </w:p>
    <w:p w14:paraId="768444A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người nộp thuế là cơ sở kinh doanh có các cửa hàng là các đơn vị phụ thuộc sử dụng chung mã số thuế và mẫu hóa đơn của cơ sở kinh doanh, trên hoá đơn có tiêu thức “Cửa hàng số” để phân biệt các cửa hàng của cơ sở kinh doanh và có đóng dấu treo của từng cửa hàng thì mỗi cửa hàng là một nhà cung cấp.”</w:t>
      </w:r>
    </w:p>
    <w:p w14:paraId="4B4A13F8"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11. Sửa đổi, bổ sung điểm b.7 Khoản 3 Điều 16 như sau:</w:t>
      </w:r>
    </w:p>
    <w:p w14:paraId="73ECDEC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“b.7) Trường hợp phía nước ngoài (trừ trường hợp phía nước ngoài là cá nhân) 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p>
    <w:p w14:paraId="612BF97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xuất khẩu cho người mua phía nước ngoài là doanh nghiệp tư nhân và việc thanh toán thông qua tài khoản vãng lai của chủ doanh nghiệp tư nhân mở tại tổ chức tín dụng ở Việt Nam và được quy định trong hợp đồng xuất khẩu (phụ lục hợp đồng hoặc văn bản điều chỉnh hợp đồng-nếu có) thì được xác định là thanh toán qua ngân hàng.</w:t>
      </w:r>
    </w:p>
    <w:p w14:paraId="6F0D733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 Người nhập cảnh mang tiền qua biên giới phải kê khai rõ số tiền mang theo là tiền thanh toán cụ thể đối với từng hợp đồng mua bán hàng hóa và tờ khai xuất khẩu hàng hóa; đồng thời xuất trình hợp đồng mua bán hàng hóa, tờ khai xuất khẩu để công chức hải quan kiểm tra, đối chiếu. Trường hợp người nhập cảnh không phải là đại diện doanh nghiệp nước ngoài trực tiếp ký hợp đồng mua bán với doanh nghiệp Việt Nam thì phải có giấy ủy quyền (bản dịch tiếng Việt hoặc tiếng Anh, cùng với bản chính bằng tiếng của nước có đường biên giới cửa khẩu tiếp giáp) của tổ chức, cá nhân nước ngoài đã ký </w:t>
      </w:r>
      <w:r>
        <w:rPr>
          <w:rFonts w:ascii="Arial" w:hAnsi="Arial" w:cs="Arial"/>
          <w:sz w:val="20"/>
          <w:szCs w:val="20"/>
        </w:rPr>
        <w:lastRenderedPageBreak/>
        <w:t>hợp đồng mua bán nêu trên. Giấy ủy quyền này chỉ áp dụng cho một lần mang tiền vào Việt Nam và phải ghi rõ số lượng tiền mang vào theo hợp đồng mua bán cụ thể.”</w:t>
      </w:r>
    </w:p>
    <w:p w14:paraId="720AC96B"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 xml:space="preserve">12. Sửa đổi, bổ sung Điều 18 như sau: </w:t>
      </w:r>
    </w:p>
    <w:p w14:paraId="22DDFB3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a) Sửa đổi, bổ sung Khoản 3 như sau: </w:t>
      </w:r>
    </w:p>
    <w:p w14:paraId="38FA613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“3. Hoàn thuế GTGT đối với dự án đầu tư</w:t>
      </w:r>
    </w:p>
    <w:p w14:paraId="7871443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Cơ sở kinh doanh đang hoạt động thuộc đối tượng nộp thuế GTGT theo phương pháp khấu trừ có dự án đầu tư (trừ dự án đầu tư xây dựng nhà để bán) cùng tỉnh, thành phố, đang trong giai đoạn đầu tư thì cơ sở kinh doanh thực hiện kê khai riêng đối với dự án đầu tư và 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14:paraId="2C52D0C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Sau khi bù trừ nếu số thuế GTGT đầu vào của dự án đầu tư chưa được khấu trừ hết từ 300 triệu đồng trở lên thì được hoàn thuế GTGT cho dự án đầu tư.</w:t>
      </w:r>
    </w:p>
    <w:p w14:paraId="001FC08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14:paraId="5D28CB6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trong kỳ kê khai, cơ sở kinh doanh có số thuế GTGT đầu vào của hoạt động sản xuất kinh doanh chưa được khấu trừ hết và số thuế GTGT đầu vào của dự án đầu tư thì cơ sở kinh doanh được hoàn thuế theo hướng dẫn tại khoản 1 và khoản 3 Điều này theo quy định.</w:t>
      </w:r>
    </w:p>
    <w:p w14:paraId="01105DF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74: Công ty A có trụ sở chính tại Hà Nội, tháng 3/2014, Công ty có dự án đầu tư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14:paraId="6BF2181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75: Công ty B có trụ sở chính tại Hải Phòng, tháng 3/2014, Công ty có dự án đầu tư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chưa được khấu trừ hết là 300 triệu đồng. Công ty B được xét hoàn thuế GTGT cho dự án đầu tư.</w:t>
      </w:r>
    </w:p>
    <w:p w14:paraId="4192DCC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76: Công ty C có trụ sở chính tại thành phố Hồ Chí Minh, tháng 3/2014, Công ty có dự án đầu tư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14:paraId="3A2CD37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77: Công ty D có trụ sở chính tại thành phố Đà Nẵng, tháng 3/2014, Công ty có dự án đầu tư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14:paraId="64B9BB9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b) Trường hợp cơ sở kinh doanh đang hoạt động thuộc đối tượng nộp thuế GTGT theo phương pháp khấu trừ có dự án đầu tư mới (trừ dự án đầu tư xây dựng nhà để bán) tại địa bàn tỉnh, thành phố </w:t>
      </w:r>
      <w:r>
        <w:rPr>
          <w:rFonts w:ascii="Arial" w:hAnsi="Arial" w:cs="Arial"/>
          <w:sz w:val="20"/>
          <w:szCs w:val="20"/>
        </w:rPr>
        <w:lastRenderedPageBreak/>
        <w:t>trực thuộc Trung ương khác với tỉnh, thành phố nơi đóng trụ sở chính, đang trong giai đoạn đầu tư chưa đi vào hoạt động, chưa đăng ký kinh doanh, chưa đăng ký thuế thì cơ sở kinh doanh lập hồ sơ khai thuế riêng cho dự án đầu tư đồng thời 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14:paraId="445EB2F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Sau khi bù trừ nếu số thuế GTGT đầu vào của dự án đầu tư mới chưa được khấu trừ hết từ 300 triệu đồng trở lên thì được hoàn thuế GTGT cho dự án đầu tư.</w:t>
      </w:r>
    </w:p>
    <w:p w14:paraId="0004E4D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14:paraId="56CC7CB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14:paraId="7DD8C26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Riêng đối với dự án quan trọng quốc gia do Quốc hội quyết định chủ trương đầu tư và quy định tiêu chuẩn dự án thì không thực hiện kết chuyển mà thực hiện theo hướng dẫn riêng của Bộ Tài chính.</w:t>
      </w:r>
    </w:p>
    <w:p w14:paraId="7FA60BC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14:paraId="201DE98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14:paraId="3694574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c̣n phải nộp trong kỳ tính thuế tháng 4/2014 là 400 triệu đồng.</w:t>
      </w:r>
    </w:p>
    <w:p w14:paraId="73E50EF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14:paraId="357C013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w:t>
      </w:r>
      <w:r>
        <w:rPr>
          <w:rFonts w:ascii="Arial" w:hAnsi="Arial" w:cs="Arial"/>
          <w:sz w:val="20"/>
          <w:szCs w:val="20"/>
        </w:rPr>
        <w:lastRenderedPageBreak/>
        <w:t>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14:paraId="7147223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14:paraId="50F9BC7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Sửa đổi, bổ sung Khoản 4 Điều 18 như sau:</w:t>
      </w:r>
    </w:p>
    <w:p w14:paraId="17C07C4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“4. Cơ sở kinh doanh trong tháng (đối với trường hợp kê khai theo tháng), quý (đối với trường hợp kê khai theo quý) có hàng hoá, dịch vụ xuất khẩu nếu thuế GTGT đầu vào của hàng hóa, dịch vụ xuất khẩu chưa được khấu trừ từ 300 triệu đồng trở lên thì được hoàn thuế giá trị gia tăng theo tháng, quý; trường hợp trong tháng, quý số thuế giá trị gia tăng đầu vào của hàng hóa, dịch vụ xuất khẩu chưa được khấu trừ chưa đủ 300 triệu đồng thì được khấu trừ vào tháng, quý tiếp theo.</w:t>
      </w:r>
    </w:p>
    <w:p w14:paraId="4E6B544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Cơ sở kinh doanh trong tháng/quý vừa có hàng hoá, dịch vụ xuất khẩu, vừa có hàng hoá, dịch vụ bán trong nước thì cơ sở kinh doanh được hoàn thuế GTGT cho hàng hoá, dịch vụ xuất khẩu nếu số thuế GTGT đầu vào của hàng hoá, dịch vụ xuất khẩu chưa được khấu trừ hết từ 300 triệu đồng trở lên.</w:t>
      </w:r>
    </w:p>
    <w:p w14:paraId="068C138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Số thuế GTGT đầu vào được hoàn cho hàng hoá, dịch vụ xuất khẩu được xác định như sau: </w:t>
      </w:r>
    </w:p>
    <w:tbl>
      <w:tblPr>
        <w:tblW w:w="9380" w:type="dxa"/>
        <w:tblCellMar>
          <w:left w:w="0" w:type="dxa"/>
          <w:right w:w="0" w:type="dxa"/>
        </w:tblCellMar>
        <w:tblLook w:val="01E0" w:firstRow="1" w:lastRow="1" w:firstColumn="1" w:lastColumn="1" w:noHBand="0" w:noVBand="0"/>
      </w:tblPr>
      <w:tblGrid>
        <w:gridCol w:w="1357"/>
        <w:gridCol w:w="117"/>
        <w:gridCol w:w="1531"/>
        <w:gridCol w:w="112"/>
        <w:gridCol w:w="6257"/>
        <w:gridCol w:w="6"/>
      </w:tblGrid>
      <w:tr w:rsidR="009A4F87" w14:paraId="78A21E66" w14:textId="77777777" w:rsidTr="009A4F87">
        <w:tc>
          <w:tcPr>
            <w:tcW w:w="0" w:type="auto"/>
            <w:vAlign w:val="center"/>
            <w:hideMark/>
          </w:tcPr>
          <w:p w14:paraId="46D55085" w14:textId="77777777" w:rsidR="009A4F87" w:rsidRDefault="009A4F87">
            <w:pPr>
              <w:jc w:val="center"/>
              <w:rPr>
                <w:rFonts w:ascii="Arial" w:hAnsi="Arial" w:cs="Arial"/>
                <w:sz w:val="20"/>
                <w:szCs w:val="20"/>
              </w:rPr>
            </w:pPr>
            <w:r>
              <w:rPr>
                <w:rFonts w:ascii="Arial" w:hAnsi="Arial" w:cs="Arial"/>
                <w:sz w:val="20"/>
                <w:szCs w:val="20"/>
              </w:rPr>
              <w:t>Số thuế GTGT chưa khấu trừ hết của tháng /quý</w:t>
            </w:r>
          </w:p>
        </w:tc>
        <w:tc>
          <w:tcPr>
            <w:tcW w:w="0" w:type="auto"/>
            <w:vAlign w:val="center"/>
            <w:hideMark/>
          </w:tcPr>
          <w:p w14:paraId="007EE68C" w14:textId="77777777" w:rsidR="009A4F87" w:rsidRDefault="009A4F87">
            <w:pPr>
              <w:jc w:val="center"/>
              <w:rPr>
                <w:rFonts w:ascii="Arial" w:hAnsi="Arial" w:cs="Arial"/>
                <w:sz w:val="20"/>
                <w:szCs w:val="20"/>
              </w:rPr>
            </w:pPr>
            <w:r>
              <w:rPr>
                <w:rFonts w:ascii="Arial" w:hAnsi="Arial" w:cs="Arial"/>
                <w:sz w:val="20"/>
                <w:szCs w:val="20"/>
              </w:rPr>
              <w:t>=</w:t>
            </w:r>
          </w:p>
        </w:tc>
        <w:tc>
          <w:tcPr>
            <w:tcW w:w="0" w:type="auto"/>
            <w:vAlign w:val="center"/>
            <w:hideMark/>
          </w:tcPr>
          <w:p w14:paraId="1F5F2F60" w14:textId="77777777" w:rsidR="009A4F87" w:rsidRDefault="009A4F87">
            <w:pPr>
              <w:jc w:val="center"/>
              <w:rPr>
                <w:rFonts w:ascii="Arial" w:hAnsi="Arial" w:cs="Arial"/>
                <w:sz w:val="20"/>
                <w:szCs w:val="20"/>
              </w:rPr>
            </w:pPr>
            <w:r>
              <w:rPr>
                <w:rFonts w:ascii="Arial" w:hAnsi="Arial" w:cs="Arial"/>
                <w:sz w:val="20"/>
                <w:szCs w:val="20"/>
              </w:rPr>
              <w:t>Thuế GTGT đầu ra của hàng hóa, dịch vụ bán trong nước</w:t>
            </w:r>
          </w:p>
        </w:tc>
        <w:tc>
          <w:tcPr>
            <w:tcW w:w="0" w:type="auto"/>
            <w:vAlign w:val="center"/>
            <w:hideMark/>
          </w:tcPr>
          <w:p w14:paraId="21A9374A" w14:textId="77777777" w:rsidR="009A4F87" w:rsidRDefault="009A4F87">
            <w:pPr>
              <w:jc w:val="center"/>
              <w:rPr>
                <w:rFonts w:ascii="Arial" w:hAnsi="Arial" w:cs="Arial"/>
                <w:sz w:val="20"/>
                <w:szCs w:val="20"/>
              </w:rPr>
            </w:pPr>
            <w:r>
              <w:rPr>
                <w:rFonts w:ascii="Arial" w:hAnsi="Arial" w:cs="Arial"/>
                <w:sz w:val="20"/>
                <w:szCs w:val="20"/>
              </w:rPr>
              <w:t>_</w:t>
            </w:r>
          </w:p>
        </w:tc>
        <w:tc>
          <w:tcPr>
            <w:tcW w:w="6257" w:type="dxa"/>
            <w:vAlign w:val="center"/>
            <w:hideMark/>
          </w:tcPr>
          <w:p w14:paraId="73BAE6D0" w14:textId="77777777" w:rsidR="009A4F87" w:rsidRDefault="009A4F87">
            <w:pPr>
              <w:jc w:val="center"/>
              <w:rPr>
                <w:rFonts w:ascii="Arial" w:hAnsi="Arial" w:cs="Arial"/>
                <w:sz w:val="20"/>
                <w:szCs w:val="20"/>
              </w:rPr>
            </w:pPr>
            <w:r>
              <w:rPr>
                <w:rFonts w:ascii="Arial" w:hAnsi="Arial" w:cs="Arial"/>
                <w:sz w:val="20"/>
                <w:szCs w:val="20"/>
              </w:rPr>
              <w:t>Tổng số thuế GTGT đầu vào được khấu trừ trong tháng/quý (bao gồm: thuế GTGT đầu vào phục vụ hoạt động xuất khẩu, phục vụ hoạt động kinh doanh trong nước chịu thuế trong tháng/quý và thuế GTGT chưa khấu trừ hết từ tháng/quý trước chuyển sang)</w:t>
            </w:r>
          </w:p>
        </w:tc>
        <w:tc>
          <w:tcPr>
            <w:tcW w:w="0" w:type="auto"/>
            <w:vAlign w:val="center"/>
          </w:tcPr>
          <w:p w14:paraId="6435A259" w14:textId="77777777" w:rsidR="009A4F87" w:rsidRDefault="009A4F87">
            <w:pPr>
              <w:jc w:val="center"/>
              <w:rPr>
                <w:rFonts w:ascii="Arial" w:hAnsi="Arial" w:cs="Arial"/>
                <w:sz w:val="20"/>
                <w:szCs w:val="20"/>
              </w:rPr>
            </w:pPr>
          </w:p>
        </w:tc>
      </w:tr>
    </w:tbl>
    <w:p w14:paraId="7E7528BC" w14:textId="77777777" w:rsidR="009A4F87" w:rsidRDefault="009A4F87" w:rsidP="009A4F87">
      <w:pPr>
        <w:rPr>
          <w:rFonts w:ascii="Arial" w:hAnsi="Arial" w:cs="Arial"/>
          <w:sz w:val="20"/>
          <w:szCs w:val="20"/>
        </w:rPr>
      </w:pPr>
    </w:p>
    <w:tbl>
      <w:tblPr>
        <w:tblW w:w="0" w:type="dxa"/>
        <w:tblCellMar>
          <w:left w:w="0" w:type="dxa"/>
          <w:right w:w="0" w:type="dxa"/>
        </w:tblCellMar>
        <w:tblLook w:val="01E0" w:firstRow="1" w:lastRow="1" w:firstColumn="1" w:lastColumn="1" w:noHBand="0" w:noVBand="0"/>
      </w:tblPr>
      <w:tblGrid>
        <w:gridCol w:w="1632"/>
        <w:gridCol w:w="117"/>
        <w:gridCol w:w="1697"/>
        <w:gridCol w:w="100"/>
        <w:gridCol w:w="4868"/>
        <w:gridCol w:w="612"/>
      </w:tblGrid>
      <w:tr w:rsidR="009A4F87" w14:paraId="2BBE8179" w14:textId="77777777" w:rsidTr="009A4F87">
        <w:tc>
          <w:tcPr>
            <w:tcW w:w="0" w:type="auto"/>
            <w:vAlign w:val="center"/>
            <w:hideMark/>
          </w:tcPr>
          <w:p w14:paraId="6FA8B3E6" w14:textId="77777777" w:rsidR="009A4F87" w:rsidRDefault="009A4F87">
            <w:pPr>
              <w:jc w:val="center"/>
              <w:rPr>
                <w:rFonts w:ascii="Arial" w:hAnsi="Arial" w:cs="Arial"/>
                <w:sz w:val="20"/>
                <w:szCs w:val="20"/>
              </w:rPr>
            </w:pPr>
            <w:r>
              <w:rPr>
                <w:rFonts w:ascii="Arial" w:hAnsi="Arial" w:cs="Arial"/>
                <w:sz w:val="20"/>
                <w:szCs w:val="20"/>
              </w:rPr>
              <w:t>Số thuế GTGT đầu vào của hàng hóa, dịch vụ xuất khẩu</w:t>
            </w:r>
          </w:p>
        </w:tc>
        <w:tc>
          <w:tcPr>
            <w:tcW w:w="0" w:type="auto"/>
            <w:vAlign w:val="center"/>
            <w:hideMark/>
          </w:tcPr>
          <w:p w14:paraId="360A6548" w14:textId="77777777" w:rsidR="009A4F87" w:rsidRDefault="009A4F87">
            <w:pPr>
              <w:jc w:val="center"/>
              <w:rPr>
                <w:rFonts w:ascii="Arial" w:hAnsi="Arial" w:cs="Arial"/>
                <w:sz w:val="20"/>
                <w:szCs w:val="20"/>
              </w:rPr>
            </w:pPr>
            <w:r>
              <w:rPr>
                <w:rFonts w:ascii="Arial" w:hAnsi="Arial" w:cs="Arial"/>
                <w:sz w:val="20"/>
                <w:szCs w:val="20"/>
              </w:rPr>
              <w:t>=</w:t>
            </w:r>
          </w:p>
        </w:tc>
        <w:tc>
          <w:tcPr>
            <w:tcW w:w="0" w:type="auto"/>
            <w:vAlign w:val="center"/>
            <w:hideMark/>
          </w:tcPr>
          <w:p w14:paraId="47DC5632" w14:textId="77777777" w:rsidR="009A4F87" w:rsidRDefault="009A4F87">
            <w:pPr>
              <w:jc w:val="center"/>
              <w:rPr>
                <w:rFonts w:ascii="Arial" w:hAnsi="Arial" w:cs="Arial"/>
                <w:sz w:val="20"/>
                <w:szCs w:val="20"/>
              </w:rPr>
            </w:pPr>
            <w:r>
              <w:rPr>
                <w:rFonts w:ascii="Arial" w:hAnsi="Arial" w:cs="Arial"/>
                <w:sz w:val="20"/>
                <w:szCs w:val="20"/>
              </w:rPr>
              <w:t>Số thuế GTGT chưa khấu trừ hết của tháng/quý</w:t>
            </w:r>
          </w:p>
        </w:tc>
        <w:tc>
          <w:tcPr>
            <w:tcW w:w="0" w:type="auto"/>
            <w:vAlign w:val="center"/>
            <w:hideMark/>
          </w:tcPr>
          <w:p w14:paraId="6AE38A3D" w14:textId="77777777" w:rsidR="009A4F87" w:rsidRDefault="009A4F87">
            <w:pPr>
              <w:jc w:val="center"/>
              <w:rPr>
                <w:rFonts w:ascii="Arial" w:hAnsi="Arial" w:cs="Arial"/>
                <w:sz w:val="20"/>
                <w:szCs w:val="20"/>
              </w:rPr>
            </w:pPr>
            <w:r>
              <w:rPr>
                <w:rFonts w:ascii="Arial" w:hAnsi="Arial" w:cs="Arial"/>
                <w:sz w:val="20"/>
                <w:szCs w:val="20"/>
              </w:rPr>
              <w:t>x</w:t>
            </w:r>
          </w:p>
        </w:tc>
        <w:tc>
          <w:tcPr>
            <w:tcW w:w="0" w:type="auto"/>
            <w:vAlign w:val="center"/>
            <w:hideMark/>
          </w:tcPr>
          <w:p w14:paraId="363B2A57" w14:textId="77777777" w:rsidR="009A4F87" w:rsidRDefault="009A4F87">
            <w:pPr>
              <w:jc w:val="center"/>
              <w:rPr>
                <w:rFonts w:ascii="Arial" w:hAnsi="Arial" w:cs="Arial"/>
                <w:sz w:val="20"/>
                <w:szCs w:val="20"/>
              </w:rPr>
            </w:pPr>
            <w:r>
              <w:rPr>
                <w:rFonts w:ascii="Arial" w:hAnsi="Arial" w:cs="Arial"/>
                <w:sz w:val="20"/>
                <w:szCs w:val="20"/>
              </w:rPr>
              <w:t>Tổng doanh thu xuất khẩu trong tháng/quý</w:t>
            </w:r>
            <w:r>
              <w:rPr>
                <w:rFonts w:ascii="Arial" w:hAnsi="Arial" w:cs="Arial"/>
                <w:sz w:val="20"/>
                <w:szCs w:val="20"/>
              </w:rPr>
              <w:br/>
              <w:t>__________________</w:t>
            </w:r>
          </w:p>
          <w:p w14:paraId="16D41FE7" w14:textId="77777777" w:rsidR="009A4F87" w:rsidRDefault="009A4F87">
            <w:pPr>
              <w:jc w:val="center"/>
              <w:rPr>
                <w:rFonts w:ascii="Arial" w:hAnsi="Arial" w:cs="Arial"/>
                <w:sz w:val="20"/>
                <w:szCs w:val="20"/>
              </w:rPr>
            </w:pPr>
            <w:r>
              <w:rPr>
                <w:rFonts w:ascii="Arial" w:hAnsi="Arial" w:cs="Arial"/>
                <w:sz w:val="20"/>
                <w:szCs w:val="20"/>
              </w:rPr>
              <w:t>Tổng doanh thu hàng hóa, dịch vụ trong kỳ bán ra chịu thuế, doanh thu không phải kê khai, tính nộp thuế (bao gồm cả doanh thu xuất khẩu) trong tháng/quý</w:t>
            </w:r>
          </w:p>
        </w:tc>
        <w:tc>
          <w:tcPr>
            <w:tcW w:w="0" w:type="auto"/>
            <w:vAlign w:val="center"/>
            <w:hideMark/>
          </w:tcPr>
          <w:p w14:paraId="62D8A1A7" w14:textId="77777777" w:rsidR="009A4F87" w:rsidRDefault="009A4F87">
            <w:pPr>
              <w:jc w:val="center"/>
              <w:rPr>
                <w:rFonts w:ascii="Arial" w:hAnsi="Arial" w:cs="Arial"/>
                <w:sz w:val="20"/>
                <w:szCs w:val="20"/>
              </w:rPr>
            </w:pPr>
            <w:r>
              <w:rPr>
                <w:rFonts w:ascii="Arial" w:hAnsi="Arial" w:cs="Arial"/>
                <w:sz w:val="20"/>
                <w:szCs w:val="20"/>
              </w:rPr>
              <w:t>x100%</w:t>
            </w:r>
          </w:p>
        </w:tc>
      </w:tr>
    </w:tbl>
    <w:p w14:paraId="4679D7D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w:t>
      </w:r>
    </w:p>
    <w:p w14:paraId="4B597D76"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Ví dụ 82:</w:t>
      </w:r>
    </w:p>
    <w:p w14:paraId="432F0078"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Tháng 3/2014 Tờ khai thuế GTGT của doanh nghiệp X có số liệu:</w:t>
      </w:r>
    </w:p>
    <w:p w14:paraId="7D31C4F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Thuế GTGT kỳ trước chuyển sang: 0,15 tỷ đồng.</w:t>
      </w:r>
    </w:p>
    <w:p w14:paraId="795D717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Thuế GTGT đầu vào phục vụ hoạt động xuất khẩu, phục vụ hoạt động kinh doanh trong nước chịu thuế phát sinh trong tháng: 4,8 tỷ đồng.</w:t>
      </w:r>
    </w:p>
    <w:p w14:paraId="10D6143C"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Tổng doanh thu (TDT) là 21,6 tỷ, trong đó: doanh thu xuất khẩu (DTXK) là 13,2 tỷ đồng, doanh thu bán trong nước chịu thuế GTGT là 8,4 tỷ đồng.</w:t>
      </w:r>
    </w:p>
    <w:p w14:paraId="7FD2F1F9"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Tỷ lệ % DTXK/TDT = 13,2/21,6 x 100% = 61%.</w:t>
      </w:r>
    </w:p>
    <w:p w14:paraId="5A99D5C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Thuế GTGT đầu ra của hàng hóa, dịch vụ bán trong nước là 0,84 tỷ đồng.</w:t>
      </w:r>
    </w:p>
    <w:p w14:paraId="5AAB9BC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Số thuế GTGT được hoàn theo tháng của hàng xuất khẩu được xác định như sau:</w:t>
      </w:r>
    </w:p>
    <w:tbl>
      <w:tblPr>
        <w:tblW w:w="9360" w:type="dxa"/>
        <w:tblCellMar>
          <w:left w:w="0" w:type="dxa"/>
          <w:right w:w="0" w:type="dxa"/>
        </w:tblCellMar>
        <w:tblLook w:val="04A0" w:firstRow="1" w:lastRow="0" w:firstColumn="1" w:lastColumn="0" w:noHBand="0" w:noVBand="1"/>
      </w:tblPr>
      <w:tblGrid>
        <w:gridCol w:w="2088"/>
        <w:gridCol w:w="540"/>
        <w:gridCol w:w="2109"/>
        <w:gridCol w:w="421"/>
        <w:gridCol w:w="4202"/>
      </w:tblGrid>
      <w:tr w:rsidR="009A4F87" w14:paraId="29C48406" w14:textId="77777777" w:rsidTr="009A4F87">
        <w:tc>
          <w:tcPr>
            <w:tcW w:w="2088" w:type="dxa"/>
            <w:vAlign w:val="center"/>
            <w:hideMark/>
          </w:tcPr>
          <w:p w14:paraId="0484ACCA" w14:textId="77777777" w:rsidR="009A4F87" w:rsidRPr="009A4F87" w:rsidRDefault="009A4F87">
            <w:pPr>
              <w:jc w:val="center"/>
              <w:rPr>
                <w:rFonts w:ascii="Arial" w:hAnsi="Arial" w:cs="Arial"/>
                <w:sz w:val="20"/>
                <w:szCs w:val="20"/>
                <w:lang w:val="vi-VN"/>
              </w:rPr>
            </w:pPr>
            <w:r w:rsidRPr="009A4F87">
              <w:rPr>
                <w:rFonts w:ascii="Arial" w:hAnsi="Arial" w:cs="Arial"/>
                <w:sz w:val="20"/>
                <w:szCs w:val="20"/>
                <w:lang w:val="vi-VN"/>
              </w:rPr>
              <w:t>Số thuế GTGT chưa khấu trừ hết của tháng</w:t>
            </w:r>
          </w:p>
        </w:tc>
        <w:tc>
          <w:tcPr>
            <w:tcW w:w="540" w:type="dxa"/>
            <w:vAlign w:val="center"/>
            <w:hideMark/>
          </w:tcPr>
          <w:p w14:paraId="70E58664" w14:textId="77777777" w:rsidR="009A4F87" w:rsidRDefault="009A4F87">
            <w:pPr>
              <w:rPr>
                <w:rFonts w:ascii="Arial" w:hAnsi="Arial" w:cs="Arial"/>
                <w:sz w:val="20"/>
                <w:szCs w:val="20"/>
              </w:rPr>
            </w:pPr>
            <w:r>
              <w:rPr>
                <w:rFonts w:ascii="Arial" w:hAnsi="Arial" w:cs="Arial"/>
                <w:sz w:val="20"/>
                <w:szCs w:val="20"/>
              </w:rPr>
              <w:t>=</w:t>
            </w:r>
          </w:p>
        </w:tc>
        <w:tc>
          <w:tcPr>
            <w:tcW w:w="6732" w:type="dxa"/>
            <w:gridSpan w:val="3"/>
            <w:vAlign w:val="center"/>
            <w:hideMark/>
          </w:tcPr>
          <w:p w14:paraId="30618F55" w14:textId="77777777" w:rsidR="009A4F87" w:rsidRDefault="009A4F87">
            <w:pPr>
              <w:rPr>
                <w:rFonts w:ascii="Arial" w:hAnsi="Arial" w:cs="Arial"/>
                <w:sz w:val="20"/>
                <w:szCs w:val="20"/>
              </w:rPr>
            </w:pPr>
            <w:r>
              <w:rPr>
                <w:rFonts w:ascii="Arial" w:hAnsi="Arial" w:cs="Arial"/>
                <w:sz w:val="20"/>
                <w:szCs w:val="20"/>
              </w:rPr>
              <w:t>0,84 tỷ đồng - (0,15 + 4,8 ) tỷ đồng</w:t>
            </w:r>
          </w:p>
        </w:tc>
      </w:tr>
      <w:tr w:rsidR="009A4F87" w14:paraId="15A53FAE" w14:textId="77777777" w:rsidTr="009A4F87">
        <w:tc>
          <w:tcPr>
            <w:tcW w:w="2088" w:type="dxa"/>
            <w:vAlign w:val="center"/>
          </w:tcPr>
          <w:p w14:paraId="7309B357" w14:textId="77777777" w:rsidR="009A4F87" w:rsidRDefault="009A4F87">
            <w:pPr>
              <w:rPr>
                <w:rFonts w:ascii="Arial" w:hAnsi="Arial" w:cs="Arial"/>
                <w:sz w:val="20"/>
                <w:szCs w:val="20"/>
              </w:rPr>
            </w:pPr>
          </w:p>
        </w:tc>
        <w:tc>
          <w:tcPr>
            <w:tcW w:w="540" w:type="dxa"/>
            <w:vAlign w:val="center"/>
            <w:hideMark/>
          </w:tcPr>
          <w:p w14:paraId="563216A7" w14:textId="77777777" w:rsidR="009A4F87" w:rsidRDefault="009A4F87">
            <w:pPr>
              <w:rPr>
                <w:rFonts w:ascii="Arial" w:hAnsi="Arial" w:cs="Arial"/>
                <w:sz w:val="20"/>
                <w:szCs w:val="20"/>
              </w:rPr>
            </w:pPr>
            <w:r>
              <w:rPr>
                <w:rFonts w:ascii="Arial" w:hAnsi="Arial" w:cs="Arial"/>
                <w:sz w:val="20"/>
                <w:szCs w:val="20"/>
              </w:rPr>
              <w:t>=</w:t>
            </w:r>
          </w:p>
        </w:tc>
        <w:tc>
          <w:tcPr>
            <w:tcW w:w="2109" w:type="dxa"/>
            <w:vAlign w:val="center"/>
            <w:hideMark/>
          </w:tcPr>
          <w:p w14:paraId="5A9BDCDB" w14:textId="77777777" w:rsidR="009A4F87" w:rsidRDefault="009A4F87">
            <w:pPr>
              <w:rPr>
                <w:rFonts w:ascii="Arial" w:hAnsi="Arial" w:cs="Arial"/>
                <w:sz w:val="20"/>
                <w:szCs w:val="20"/>
              </w:rPr>
            </w:pPr>
            <w:r>
              <w:rPr>
                <w:rFonts w:ascii="Arial" w:hAnsi="Arial" w:cs="Arial"/>
                <w:sz w:val="20"/>
                <w:szCs w:val="20"/>
              </w:rPr>
              <w:t>- 4,11 tỷ đồng.</w:t>
            </w:r>
          </w:p>
        </w:tc>
        <w:tc>
          <w:tcPr>
            <w:tcW w:w="421" w:type="dxa"/>
            <w:vAlign w:val="center"/>
          </w:tcPr>
          <w:p w14:paraId="2874B5BF" w14:textId="77777777" w:rsidR="009A4F87" w:rsidRDefault="009A4F87">
            <w:pPr>
              <w:rPr>
                <w:rFonts w:ascii="Arial" w:hAnsi="Arial" w:cs="Arial"/>
                <w:sz w:val="20"/>
                <w:szCs w:val="20"/>
              </w:rPr>
            </w:pPr>
          </w:p>
        </w:tc>
        <w:tc>
          <w:tcPr>
            <w:tcW w:w="4202" w:type="dxa"/>
            <w:vAlign w:val="center"/>
          </w:tcPr>
          <w:p w14:paraId="206D215A" w14:textId="77777777" w:rsidR="009A4F87" w:rsidRDefault="009A4F87">
            <w:pPr>
              <w:rPr>
                <w:rFonts w:ascii="Arial" w:hAnsi="Arial" w:cs="Arial"/>
                <w:sz w:val="20"/>
                <w:szCs w:val="20"/>
              </w:rPr>
            </w:pPr>
          </w:p>
        </w:tc>
      </w:tr>
    </w:tbl>
    <w:p w14:paraId="7F88C2B6"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Như vậy số thuế GTGT chưa khấu trừ hết của tháng là 4,11 tỷ đồng.</w:t>
      </w:r>
    </w:p>
    <w:p w14:paraId="3CA2AB6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Xác định số thuế GTGT đầu vào của hàng xuất khẩu</w:t>
      </w:r>
    </w:p>
    <w:tbl>
      <w:tblPr>
        <w:tblW w:w="9360" w:type="dxa"/>
        <w:tblCellMar>
          <w:left w:w="0" w:type="dxa"/>
          <w:right w:w="0" w:type="dxa"/>
        </w:tblCellMar>
        <w:tblLook w:val="04A0" w:firstRow="1" w:lastRow="0" w:firstColumn="1" w:lastColumn="0" w:noHBand="0" w:noVBand="1"/>
      </w:tblPr>
      <w:tblGrid>
        <w:gridCol w:w="2088"/>
        <w:gridCol w:w="519"/>
        <w:gridCol w:w="2251"/>
        <w:gridCol w:w="541"/>
        <w:gridCol w:w="3961"/>
      </w:tblGrid>
      <w:tr w:rsidR="009A4F87" w14:paraId="468997B2" w14:textId="77777777" w:rsidTr="009A4F87">
        <w:tc>
          <w:tcPr>
            <w:tcW w:w="2088" w:type="dxa"/>
            <w:vAlign w:val="center"/>
            <w:hideMark/>
          </w:tcPr>
          <w:p w14:paraId="4796DF8B" w14:textId="77777777" w:rsidR="009A4F87" w:rsidRPr="009A4F87" w:rsidRDefault="009A4F87">
            <w:pPr>
              <w:jc w:val="center"/>
              <w:rPr>
                <w:rFonts w:ascii="Arial" w:hAnsi="Arial" w:cs="Arial"/>
                <w:sz w:val="20"/>
                <w:szCs w:val="20"/>
                <w:lang w:val="vi-VN"/>
              </w:rPr>
            </w:pPr>
            <w:r w:rsidRPr="009A4F87">
              <w:rPr>
                <w:rFonts w:ascii="Arial" w:hAnsi="Arial" w:cs="Arial"/>
                <w:sz w:val="20"/>
                <w:szCs w:val="20"/>
                <w:lang w:val="vi-VN"/>
              </w:rPr>
              <w:t>Số thuế GTGT đầu vào của hàng hóa xuất khẩu</w:t>
            </w:r>
          </w:p>
        </w:tc>
        <w:tc>
          <w:tcPr>
            <w:tcW w:w="519" w:type="dxa"/>
            <w:vAlign w:val="center"/>
            <w:hideMark/>
          </w:tcPr>
          <w:p w14:paraId="020AAFC4" w14:textId="77777777" w:rsidR="009A4F87" w:rsidRDefault="009A4F87">
            <w:pPr>
              <w:rPr>
                <w:rFonts w:ascii="Arial" w:hAnsi="Arial" w:cs="Arial"/>
                <w:sz w:val="20"/>
                <w:szCs w:val="20"/>
              </w:rPr>
            </w:pPr>
            <w:r>
              <w:rPr>
                <w:rFonts w:ascii="Arial" w:hAnsi="Arial" w:cs="Arial"/>
                <w:sz w:val="20"/>
                <w:szCs w:val="20"/>
              </w:rPr>
              <w:t>=</w:t>
            </w:r>
          </w:p>
        </w:tc>
        <w:tc>
          <w:tcPr>
            <w:tcW w:w="6753" w:type="dxa"/>
            <w:gridSpan w:val="3"/>
            <w:vAlign w:val="center"/>
            <w:hideMark/>
          </w:tcPr>
          <w:p w14:paraId="6F05A4A1" w14:textId="77777777" w:rsidR="009A4F87" w:rsidRDefault="009A4F87">
            <w:pPr>
              <w:rPr>
                <w:rFonts w:ascii="Arial" w:hAnsi="Arial" w:cs="Arial"/>
                <w:sz w:val="20"/>
                <w:szCs w:val="20"/>
              </w:rPr>
            </w:pPr>
            <w:r>
              <w:rPr>
                <w:rFonts w:ascii="Arial" w:hAnsi="Arial" w:cs="Arial"/>
                <w:sz w:val="20"/>
                <w:szCs w:val="20"/>
              </w:rPr>
              <w:t>4,11 tỷ đồng x 61%</w:t>
            </w:r>
          </w:p>
        </w:tc>
      </w:tr>
      <w:tr w:rsidR="009A4F87" w14:paraId="56FAEAD4" w14:textId="77777777" w:rsidTr="009A4F87">
        <w:tc>
          <w:tcPr>
            <w:tcW w:w="2088" w:type="dxa"/>
            <w:vAlign w:val="center"/>
          </w:tcPr>
          <w:p w14:paraId="278D651A" w14:textId="77777777" w:rsidR="009A4F87" w:rsidRDefault="009A4F87">
            <w:pPr>
              <w:rPr>
                <w:rFonts w:ascii="Arial" w:hAnsi="Arial" w:cs="Arial"/>
                <w:sz w:val="20"/>
                <w:szCs w:val="20"/>
              </w:rPr>
            </w:pPr>
          </w:p>
        </w:tc>
        <w:tc>
          <w:tcPr>
            <w:tcW w:w="519" w:type="dxa"/>
            <w:vAlign w:val="center"/>
            <w:hideMark/>
          </w:tcPr>
          <w:p w14:paraId="766C5D53" w14:textId="77777777" w:rsidR="009A4F87" w:rsidRDefault="009A4F87">
            <w:pPr>
              <w:rPr>
                <w:rFonts w:ascii="Arial" w:hAnsi="Arial" w:cs="Arial"/>
                <w:sz w:val="20"/>
                <w:szCs w:val="20"/>
              </w:rPr>
            </w:pPr>
            <w:r>
              <w:rPr>
                <w:rFonts w:ascii="Arial" w:hAnsi="Arial" w:cs="Arial"/>
                <w:sz w:val="20"/>
                <w:szCs w:val="20"/>
              </w:rPr>
              <w:t>=</w:t>
            </w:r>
          </w:p>
        </w:tc>
        <w:tc>
          <w:tcPr>
            <w:tcW w:w="2251" w:type="dxa"/>
            <w:vAlign w:val="center"/>
            <w:hideMark/>
          </w:tcPr>
          <w:p w14:paraId="364532E9" w14:textId="77777777" w:rsidR="009A4F87" w:rsidRDefault="009A4F87">
            <w:pPr>
              <w:rPr>
                <w:rFonts w:ascii="Arial" w:hAnsi="Arial" w:cs="Arial"/>
                <w:sz w:val="20"/>
                <w:szCs w:val="20"/>
              </w:rPr>
            </w:pPr>
            <w:r>
              <w:rPr>
                <w:rFonts w:ascii="Arial" w:hAnsi="Arial" w:cs="Arial"/>
                <w:sz w:val="20"/>
                <w:szCs w:val="20"/>
              </w:rPr>
              <w:t>2,507 tỷ đồng</w:t>
            </w:r>
          </w:p>
        </w:tc>
        <w:tc>
          <w:tcPr>
            <w:tcW w:w="541" w:type="dxa"/>
            <w:vAlign w:val="center"/>
          </w:tcPr>
          <w:p w14:paraId="17BEF4EE" w14:textId="77777777" w:rsidR="009A4F87" w:rsidRDefault="009A4F87">
            <w:pPr>
              <w:rPr>
                <w:rFonts w:ascii="Arial" w:hAnsi="Arial" w:cs="Arial"/>
                <w:sz w:val="20"/>
                <w:szCs w:val="20"/>
              </w:rPr>
            </w:pPr>
          </w:p>
        </w:tc>
        <w:tc>
          <w:tcPr>
            <w:tcW w:w="3961" w:type="dxa"/>
            <w:vAlign w:val="center"/>
          </w:tcPr>
          <w:p w14:paraId="13C7119A" w14:textId="77777777" w:rsidR="009A4F87" w:rsidRDefault="009A4F87">
            <w:pPr>
              <w:rPr>
                <w:rFonts w:ascii="Arial" w:hAnsi="Arial" w:cs="Arial"/>
                <w:sz w:val="20"/>
                <w:szCs w:val="20"/>
              </w:rPr>
            </w:pPr>
          </w:p>
        </w:tc>
      </w:tr>
    </w:tbl>
    <w:p w14:paraId="730FB575"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14:paraId="3CB13FA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 là cơ sở kinh doanh có hàng hóa xuất khẩu tại chỗ.”</w:t>
      </w:r>
    </w:p>
    <w:p w14:paraId="76E447D4"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c) Sửa đổi, bổ sung Khoản 5 Điều 18 như sau:</w:t>
      </w:r>
    </w:p>
    <w:p w14:paraId="2EA47F83"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14:paraId="77BC82D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Cơ sở kinh doanh phải thông báo với cơ quan thuế quản lý trực tiếp về việc giải thể, phá sản, chấm dứt hoạt động theo quy định. </w:t>
      </w:r>
    </w:p>
    <w:p w14:paraId="15F4E33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14:paraId="6EBDEFA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14:paraId="079EB8E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Ví dụ 83: Năm 2015, doanh nghiệp A trong giai đoạn đầu tư chưa đi vào hoạt động sản xuất kinh doanh, doanh nghiệp A có phát sinh số thuế GTGT đầu vào của giai đoạn đầu tư đã được cơ quan thuế hoàn trong tháng 8/2015 là 700 triệu đồng. Do khó khăn, tháng 2/2016 doanh nghiệp A quyết định giải thể và có văn bản gửi cơ quan thuế về việc sẽ giải thể thì trong giai đoạn doanh nghiệp A chưa hoàn thành thủ tục pháp lý để giải thể, cơ quan thuế chưa thu hồi lại thuế GTGT đã hoàn. Hai mươi ngày trước khi doanh nghiệp A có đủ thủ tục pháp lý để giải thể chính thức vào tháng 10/2016, doanh nghiệp thực hiện bán một (01) tài sản đã đầu tư thì doanh nghiệp A không phải điều chỉnh lại số thuế GTGT đầu vào tương ứng của tài sản bán ra (số thuế đã được cơ quan thuế hoàn). Đối với những tài sản không bán ra, doanh nghiệp A phải kê khai điều chỉnh để nộp lại số thuế GTGT đã được hoàn.”</w:t>
      </w:r>
    </w:p>
    <w:p w14:paraId="6F2724A4"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 xml:space="preserve">Điều 2. Sửa đổi, bổ sung Thông tư số 156/2013/TT-BTC ngày 6/11/2013 của Bộ Tài chính hướng dẫn thi hành một số điều của Luật Quản lý thuế; Luật sửa đổi, bổ sung một số điều của Luật Quản lý thuế và Nghị định số 83/2013/NĐ-CP ngày 22/7/2013 của Chính phủ (đã được sửa đổi, bổ sung theo Thông tư số 119/2014/TT-BTC ngày 25/8/2014 của Bộ Tài chính và Thông tư số 151/2014/TT-BTC ngày 10/10/2014) như sau: </w:t>
      </w:r>
    </w:p>
    <w:p w14:paraId="4BB59B6B"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1. Sửa đổi, bổ sung Điều 11 (đã được sửa đổi, bổ sung theo Thông tư số 119/2014/TT-BTC ngày 25/8/2014 của Bộ Tài chính) như sau:</w:t>
      </w:r>
    </w:p>
    <w:p w14:paraId="11182AD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a) Sửa đổi điểm đ Khoản 1 Điều 11 như sau:</w:t>
      </w:r>
    </w:p>
    <w:p w14:paraId="672F70AF"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“đ) Trường hợp người nộp thuế có hoạt động kinh doanh xây dựng, lắp đặt, bán hàng vãng lai ngoại tỉnh mà giá trị công trình xây dựng, lắp đặt, bán hàng vãng lai ngoại tỉnh bao gồm cả thuế GTGT từ 1 tỷ đồng trở lên, và chuyển nhượng bất động sản ngoại tỉnh không thuộc trường hợp quy định tại </w:t>
      </w:r>
      <w:r w:rsidRPr="009A4F87">
        <w:rPr>
          <w:rFonts w:ascii="Arial" w:hAnsi="Arial" w:cs="Arial"/>
          <w:sz w:val="20"/>
          <w:szCs w:val="20"/>
          <w:lang w:val="vi-VN"/>
        </w:rPr>
        <w:lastRenderedPageBreak/>
        <w:t>điểm c khoản 1 Điều này, mà không thành lập đơn vị trực thuộc tại địa phương cấp tỉnh khác nơi người nộp thuế có trụ sở chính (sau đây gọi là kinh doanh xây dựng, lắp đặt, bán hàng vãng lai, chuyển nhượng bất động sản ngoại tỉnh) thì người nộp thuế phải nộp hồ sơ khai thuế cho cơ quan thuế quản lý tại địa phương có hoạt động xây dựng, lắp đặt, bán hàng vãng lai và chuyển nhượng bất động sản ngoại tỉnh.</w:t>
      </w:r>
    </w:p>
    <w:p w14:paraId="2202E4D5"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Căn cứ tình hình thực tế trên địa bàn quản lý, giao Cục trưởng Cục Thuế địa phương quyết định về nơi kê khai thuế đối với hoạt động xây dựng, lắp đặt, bán hàng vãng lai ngoại tỉnh và chuyển nhượng bất động sản ngoại tỉnh.</w:t>
      </w:r>
    </w:p>
    <w:p w14:paraId="6411918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Ví dụ 16: Công ty A trụ sở tại Hải Phòng ký hợp đồng cung cấp xi măng cho Công ty B có trụ sở tại Hà Nội. Theo hợp đồng, hàng hóa sẽ được Công ty A giao tại công trình mà công ty B đang xây dựng tại Hà Nội. Hoạt động bán hàng này không được gọi là bán hàng vãng lai ngoại tỉnh. Công ty A thực hiện kê khai thuế GTGT tại Hải Phòng, không phải thực hiện kê khai thuế GTGT tại Hà Nội đối với doanh thu từ hợp đồng bán hàng cho Công ty B.</w:t>
      </w:r>
    </w:p>
    <w:p w14:paraId="1107B857"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Ví dụ 17: Công ty B có trụ sở tại thành phố Hồ Chí Minh có các kho hàng tại Hải Phòng, Nghệ An không có chức năng kinh doanh. Khi Công ty B xuất bán hàng hóa tại kho ở Hải Phòng cho Công ty C tại Hưng Yên thì Công ty B không phải kê khai thuế GTGT tại địa phương nơi có các kho hàng (Hải Phòng, Nghệ An).</w:t>
      </w:r>
    </w:p>
    <w:p w14:paraId="7037971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Ví dụ 18: </w:t>
      </w:r>
    </w:p>
    <w:p w14:paraId="1FACB4D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 Công ty A có trụ sở tại Hà Nội ký hợp đồng với Công ty B chỉ để thực hiện tư vấn, khảo sát, thiết kế công trình được xây dựng tại Sơn La mà Công ty B là chủ đầu tư thì hoạt động này không phải hoạt động kinh doanh xây dựng, lắp đặt ngoại tỉnh. Công ty A thực hiện khai thuế GTGT đối với hợp đồng này tại trụ sở chính tại Hà Nội, không phải thực hiện kê khai thuế GTGT tại Sơn La. </w:t>
      </w:r>
    </w:p>
    <w:p w14:paraId="3FA1467C"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 Công ty A có trụ sở tại Hà Nội ký hợp đồng với Công ty C để thực hiện công trình được xây dựng (trong đó có bao gồm cả hoạt động khảo sát, thiết kế) tại Sơn La mà Công ty C là chủ đầu tư, giá trị công trình bao gồm cả thuế GTGT trên 1 tỷ đồng thì Công ty A thực hiện khai thuế GTGT xây dựng ngoại tỉnh đối với hợp đồng này tại Sơn La. </w:t>
      </w:r>
    </w:p>
    <w:p w14:paraId="2919E25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Công ty A có trụ sở tại Hà Nội ký hợp đồng với Công ty Y để thực hiện công trình được xây dựng (trong đó có bao gồm cả hoạt động khảo sát, thiết kế) tại Yên Bái mà Công ty C là chủ đầu tư, giá trị công trình bao gồm cả thuế GTGT là 770 triệu đồng thì Công ty A không phải thực hiện khai thuế GTGT xây dựng ngoại tỉnh đối với hợp đồng này tại Sơn La</w:t>
      </w:r>
    </w:p>
    <w:p w14:paraId="610D98B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Ví dụ 19: Công ty B trụ sở tại Hà Nội bán máy điều hoà cho khách tại Hòa Bình (bao gồm cả lắp đặt) thì Công ty B không phải kê khai thuế GTGT tại Hoà Bình. </w:t>
      </w:r>
    </w:p>
    <w:p w14:paraId="61A7C41F"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Ví dụ 20: Công ty A có trụ sở tại Hà Nội mua 10 căn nhà thuộc 1 dự án của Công ty B tại thành phố Hồ Chí Minh. Sau đó Công ty A bán lại các căn nhà này và thực hiện xuất hóa đơn cho khách hàng C thì Công ty A phải thực hiện kê khai, nộp thuế đối với hoạt động chuyển nhượng bất động sản ngoại tỉnh theo tỷ lệ % doanh thu với cơ quan thuế tại thành phố Hồ Chí Minh.”</w:t>
      </w:r>
    </w:p>
    <w:p w14:paraId="7C1BC2D5"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b) Sửa đổi điểm e khoản 1 như sau:</w:t>
      </w:r>
    </w:p>
    <w:p w14:paraId="500E62F5"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“Trường hợp người nộp thuế có công trình xây dựng, lắp đặt ngoại tỉnh liên quan tới nhiều địa phương như: xây dựng đường giao thông, đường dây tải điện, đường ống dẫn nước, dẫn dầu, dẫn khí,..., không xác định được doanh thu của công trình ở từng địa phương cấp tỉnh thì người nộp thuế khai thuế giá trị gia tăng của doanh thu xây dựng, lắp đặt ngoại tỉnh chung với hồ sơ khai thuế giá trị gia tăng tại trụ sở chính và nộp thuế GTGT cho các tỉnh nơi có công trình đi qua. Số thuế GTGT phải nộp cho các tỉnh được tính theo tỷ lệ (%) giá trị đầu tư của công trình tại từng tỉnh do người nộp thuế tự xác định nhân (x) với 2% doanh thu chưa có thuế GTGT của hoạt động xây dựng công trình.</w:t>
      </w:r>
    </w:p>
    <w:p w14:paraId="52F73B54"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Số thuế GTGT đã nộp (theo chứng từ nộp thuế) của hoạt động xây dựng công trình liên tỉnh được trừ (-) vào số thuế phải nộp trên Tờ khai thuế GTGT (mẫu số 01/GTGT) của người nộp thuế tại trụ sở chính.</w:t>
      </w:r>
    </w:p>
    <w:p w14:paraId="71ABD5B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Người nộp thuế lập Bảng phân bổ số thuế GTGT phải nộp cho các địa phương nơi có công trình xây dựng, lắp đặt liên tỉnh (mẫu số 01-7/GTGT ban hành kèm theo Thông tư này) và sao gửi kèm theo Tờ khai thuế GTGT cho Cục Thuế nơi được hưởng nguồn thu thuế GTGT.”</w:t>
      </w:r>
    </w:p>
    <w:p w14:paraId="6831A869"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c) Sửa đổi điểm b Khoản 3 Điều 11 như sau:</w:t>
      </w:r>
    </w:p>
    <w:p w14:paraId="5416BE8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“b) Hồ sơ khai thuế giá trị gia tăng tháng, quý áp dụng phương pháp khấu trừ thuế:</w:t>
      </w:r>
    </w:p>
    <w:p w14:paraId="07972618"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lastRenderedPageBreak/>
        <w:t>- Tờ khai thuế giá trị gia tăng theo mẫu số 01/GTGT ban hành kèm theo Thông tư này (thay thế cho mẫu Tờ khai thuế giá trị tăng theo mẫu số 01/GTGT ban hành kèm theo Thông tư số 119/2014/TT-BTC ngày 25/8/2014 của Bộ Tài chính).</w:t>
      </w:r>
    </w:p>
    <w:p w14:paraId="4C9D2848"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Trường hợp người nộp thuế có hoạt động kinh doanh xây dựng, lắp đặt, bán hàng vãng lai, chuyển nhượng bất động sản ngoại tỉnh hoặc có cơ sở sản xuất trực thuộc tại địa phương khác nơi đóng trụ sở chính thì người nộp thuế nộp cùng Tờ khai thuế GTGT tài liệu sau: </w:t>
      </w:r>
    </w:p>
    <w:p w14:paraId="441F2986"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Bảng tổng hợp số thuế giá trị gia tăng đã nộp của doanh thu kinh doanh xây dựng, lắp đặt, bán hàng vãng lai, chuyển nhượng bất động sản ngoại tỉnh (nếu có) theo mẫu số 01-5/GTGT ban hành kèm theo Thông tư số 156/2013/TT-BTC ngày 06/11/2013 của Bộ Tài chính.</w:t>
      </w:r>
    </w:p>
    <w:p w14:paraId="7A88CB93"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Bảng phân bổ thuế GTGT cho địa phương nơi đóng trụ sở chính và cho các địa phương nơi có cơ sở sản xuất trực thuộc không thực hiện hạch toán kế toán (nếu có) theo mẫu số 01-6/GTGT ban hành kèm theo Thông tư số 156/2013/TT-BTC ngày 06/11/2013 của Bộ Tài chính.</w:t>
      </w:r>
    </w:p>
    <w:p w14:paraId="6CF6B4B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Bảng phân bổ số thuế GTGT phải nộp cho các địa phương nơi có công trình xây dựng, lắp đặt liên tỉnh (nếu có) theo mẫu số 01-7/GTGT ban hành kèm theo Thông tư này.”</w:t>
      </w:r>
    </w:p>
    <w:p w14:paraId="4F7EF8E4"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d) Sửa đổi điểm b khoản 5 Điều 11 như sau:</w:t>
      </w:r>
    </w:p>
    <w:p w14:paraId="551F0FC7"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 “b) Hồ sơ khai thuế GTGT tháng/quý tính theo phương pháp trực tiếp trên doanh thu là Tờ khai thuế giá trị gia tăng mẫu số 04/GTGT ban hành kèm theo Thông tư số 156/2013/TT-BTC ngày 06/11/2013 của Bộ Tài chính.”</w:t>
      </w:r>
    </w:p>
    <w:p w14:paraId="23AD340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e) Sửa đổi Khoản 6 Điều 11 như sau: </w:t>
      </w:r>
    </w:p>
    <w:p w14:paraId="46B228F1"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“6. Khai thuế giá trị gia tăng đối với hoạt động kinh doanh xây dựng, lắp đặt, bán hàng vãng lai và chuyển nhượng bất động sản ngoại tỉnh không thuộc trường hợp hướng dẫn tại điểm c khoản 1 Điều này.</w:t>
      </w:r>
    </w:p>
    <w:p w14:paraId="3BD98011"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a) Người nộp thuế kinh doanh xây dựng, lắp đặt, bán hàng vãng lai, chuyển nhượng bất động sản ngoại tỉnh thì khai thuế giá trị gia tăng tạm tính theo tỷ lệ 2% đối với hàng hoá chịu thuế suất thuế giá trị gia tăng 10% hoặc theo tỷ lệ 1% đối với hàng hoá chịu thuế suất thuế giá trị gia tăng 5% trên doanh thu hàng hoá chưa có thuế giá trị gia tăng với cơ quan Thuế quản lý địa phương nơi có hoạt động xây dựng, lắp đặt, bán hàng vãng lai, chuyển nhượng bất động sản ngoại tỉnh.</w:t>
      </w:r>
    </w:p>
    <w:p w14:paraId="2212CFD7"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b) Hồ sơ khai thuế giá trị gia tăng đối với hoạt động kinh doanh xây dựng, lắp đặt, bán hàng vãng lai, chuyển nhượng bất động sản ngoại tỉnh là Tờ khai thuế giá trị gia tăng theo mẫu số 05/GTGT ban hành kèm theo Thông tư số 156/2013/TT-BTC ngày 06/11/2013 của Bộ Tài chính.</w:t>
      </w:r>
    </w:p>
    <w:p w14:paraId="46BC1F68"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c) Hồ sơ khai thuế giá trị gia tăng đối với hoạt động kinh doanh xây dựng, lắp đặt, bán hàng vãng lai, chuyển nhượng bất động sản ngoại tỉnh được nộp theo từng lần phát sinh doanh thu. Trường hợp phát sinh nhiều lần nộp hồ sơ khai thuế trong một tháng thì người nộp thuế có thể đăng ký với Cơ quan thuế nơi nộp hồ sơ khai thuế để nộp hồ sơ khai thuế giá trị gia tăng theo tháng.</w:t>
      </w:r>
    </w:p>
    <w:p w14:paraId="3A0DAA61"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d) Khi khai thuế với cơ quan thuế quản lý trực tiếp, người nộp thuế phải tổng hợp doanh thu phát sinh và số thuế giá trị gia tăng đã nộp của doanh thu kinh doanh xây dựng, lắp đặt, bán hàng vãng lai, chuyển nhượng bất động sản ngoại tỉnh trong hồ sơ khai thuế tại trụ sở chính. Số thuế đã nộp (theo chứng từ nộp tiền thuế) của doanh thu kinh doanh xây dựng, lắp đặt, bán hàng vãng lai, chuyển nhượng bất động sản ngoại tỉnh được trừ vào số thuế giá trị gia tăng phải nộp theo tờ khai thuế giá trị gia tăng của người nộp thuế tại trụ sở chính.”</w:t>
      </w:r>
    </w:p>
    <w:p w14:paraId="394E1DA9"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2. Sửa đổi Khoản 3 Điều 13 như sau:</w:t>
      </w:r>
    </w:p>
    <w:p w14:paraId="04D4AEBF"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“3. Hồ sơ khai thuế tiêu thụ đặc biệt</w:t>
      </w:r>
    </w:p>
    <w:p w14:paraId="6E407A66"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Tờ khai thuế tiêu thụ đặc biệt theo mẫu số 01/TTĐB ban hành kèm theo Thông tư số 156/2013/TT-BTC ngày 06/11/2013 của Bộ Tài chính.”</w:t>
      </w:r>
    </w:p>
    <w:p w14:paraId="3AA490EB"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3. Sửa đổi Điều 20 như sau:</w:t>
      </w:r>
    </w:p>
    <w:p w14:paraId="5658569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a) Sửa đổi điểm d Khoản 3 Điều 20 như sau:</w:t>
      </w:r>
    </w:p>
    <w:p w14:paraId="15FDF8A8"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“d) Khai thuế đối với hãng vận tải nước ngoài</w:t>
      </w:r>
    </w:p>
    <w:p w14:paraId="4B3901CC"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Tổ chức làm đại lý tàu biển hoặc đại lý giao nhận vận chuyển hàng hóa cho các hãng vận tải nước ngoài (sau đây gọi chung là đại lý của hãng vận tải) có trách nhiệm khấu trừ và nộp thuế thay cho các hãng vận tải nước ngoài.</w:t>
      </w:r>
    </w:p>
    <w:p w14:paraId="6506D4DC"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lastRenderedPageBreak/>
        <w:t>Hồ sơ khai thuế đối với hãng vận tải nước ngoài được nộp cho cơ quan thuế quản lý trực tiếp bên đại lý của hãng vận tải.</w:t>
      </w:r>
    </w:p>
    <w:p w14:paraId="5220EF63"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Khai thuế đối với hãng vận tải nước ngoài là tạm nộp theo quý và quyết toán theo năm.”</w:t>
      </w:r>
    </w:p>
    <w:p w14:paraId="548C7F48"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b) Sửa đổi điểm d2 khoản 3 Điều 20 như sau:</w:t>
      </w:r>
    </w:p>
    <w:p w14:paraId="2CFBD096"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“d.2) Hồ sơ Thông báo miễn, giảm thuế theo Hiệp định:</w:t>
      </w:r>
    </w:p>
    <w:p w14:paraId="537DE5C1"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Trường hợp hãng vận tải nước ngoài thuộc diện được miễn thuế, giảm thuế do áp dụng Hiệp định tránh đánh thuế hai lần giữa Việt Nam và nước, vùng lãnh thổ khác thì thực hiện thêm các thủ tục sau:</w:t>
      </w:r>
    </w:p>
    <w:p w14:paraId="1FE40019"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Tại Tờ khai thuế đối với hãng vận tải nước ngoài, hãng vận tải nước ngoài hoặc đại lý của hãng vận tải nước ngoài phải gửi cho cơ quan thuế hồ sơ thông báo thuộc diện miễn, giảm thuế theo Hiệp định. Hồ sơ gồm:</w:t>
      </w:r>
    </w:p>
    <w:p w14:paraId="08E4708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Thông báo thuộc diện miễn, giảm thuế theo Hiệp định theo mẫu số 01/HTQT ban hành kèm theo Thông tư này;</w:t>
      </w:r>
    </w:p>
    <w:p w14:paraId="3EBE0D1D"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Bản gốc (hoặc bản chụp đã được chứng thực) Giấy chứng nhận cư trú do cơ quan thuế của nước, vùng lãnh thổ nơi hãng tàu nước ngoài cư trú cấp cho năm tính thuế ngay trước năm thông báo thuộc diện miễn, giảm thuế theo Hiệp định đã được hợp pháp hóa lãnh sự.</w:t>
      </w:r>
    </w:p>
    <w:p w14:paraId="1C09E71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Đại lý của hãng vận tải nước ngoài tại Việt Nam hoặc Văn phòng Đại diện của hãng vận tải nước ngoài có trách nhiệm lưu trữ các hồ sơ, tài liệu, chứng từ theo quy định của Luật kế toán, Nghị định hướng dẫn Luật kế toán và Bộ Luật Hàng hải và xuất trình khi cơ quan thuế yêu cầu. </w:t>
      </w:r>
    </w:p>
    <w:p w14:paraId="42F3BAE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Trường hợp hãng vận tải nước ngoài hoặc đại lý của hãng vận tải nước ngoài ủy quyền cho đại diện hợp pháp thực hiện thủ tục áp dụng Hiệp định phải nộp thêm bản gốc giấy ủy quyền.</w:t>
      </w:r>
    </w:p>
    <w:p w14:paraId="1B56A77C"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Kết thúc năm, hãng vận tải nước ngoài hoặc đại lý của hãng vận tải nước ngoài gửi cơ quan thuế Giấy chứng nhận cư trú đã được hợp pháp hóa lãnh sự của hãng tàu cho năm đó.</w:t>
      </w:r>
    </w:p>
    <w:p w14:paraId="6663F8E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Trường hợp năm trước đó đã thông báo thuộc diện miễn, giảm thuế theo Hiệp định, thì các năm tiếp theo hãng vận tải nước ngoài hoặc đại lý của hãng vận tải nước ngoài chỉ cần thông báo bất kỳ sự thay đổi nào về các thông tin đã thông báo tại mẫu số 01/HTQT của năm trước đó và cung cấp các tài liệu tương ứng với việc thay đổi.</w:t>
      </w:r>
    </w:p>
    <w:p w14:paraId="2451240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Trường hợp các hãng vận tải nước ngoài có các đại lý tại nhiều địa phương ở Việt Nam hoặc các đại lý của hãng vận tải nước ngoài có các chi nhánh hoặc văn phòng đại diện (sau đây gọi chung là chi nhánh) tại nhiều địa phương ở Việt Nam thì các hãng vận tải nước ngoài hoặc đại lý của hãng vận tải nước ngoài nộp bản gốc (hoặc bản chụp đã được chứng thực) Giấy chứng nhận cư trú đã hợp pháp hóa lãnh sự cho Cục Thuế địa phương nơi đại lý của hãng vận tải nước ngoài có trụ sở chính; gửi bản chụp Giấy chứng nhận cư trú đã hợp pháp hóa lãnh sự tại các Cục Thuế địa phương nơi hãng vận tải nước ngoài có chi nhánh và ghi rõ nơi đã nộp bản gốc (hoặc bản chụp đã được chứng thực) trong Thông báo thuộc diện miễn, giảm thuế theo Hiệp định”.</w:t>
      </w:r>
    </w:p>
    <w:p w14:paraId="57E07736"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4. Sửa đổi, bổ sung Điều 27 như sau:</w:t>
      </w:r>
    </w:p>
    <w:p w14:paraId="594A3BD1"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“Điều 27. Đồng tiền nộp thuế và xác định doanh thu, chi phí, giá tính thuế và các khoản nộp ngân sách nhà nước.</w:t>
      </w:r>
    </w:p>
    <w:p w14:paraId="0FE59BA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1. Người nộp thuế thực hiện nộp thuế và các khoản nộp ngân sách nhà nước bằng đồng Việt Nam, trừ trường hợp được nộp thuế bằng ngoại tệ theo quy định của pháp luật.</w:t>
      </w:r>
    </w:p>
    <w:p w14:paraId="7691A15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2. Trường hợp người nộp thuế có nghĩa vụ phải nộp bằng ngoại tệ nhưng được cơ quan có thẩm quyền cho phép nộp thuế bằng đồng Việt Nam thì người nộp thuế và cơ quan quản lý thuế căn cứ số tiền Việt Nam Đồng trên chứng từ nộp tiền vào ngân sách nhà nước và tỷ giá quy định tại Khoản này để quy đổi thành số tiền bằng ngoại tệ để thanh toán cho khoản nghĩa vụ phải nộp bằng ngoại tệ, cụ thể như sau:</w:t>
      </w:r>
    </w:p>
    <w:p w14:paraId="4BE6BB74"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Trường hợp nộp tiền tại ngân hàng thương mại, tổ chức tín dụng, Kho bạc Nhà nước thì áp dụng tỷ giá mua vào của ngân hàng thương mại, tổ chức tín dụng nơi người nộp thuế mở tài khoản tại thời điểm người nộp thuế nộp tiền vào ngân sách nhà nước. </w:t>
      </w:r>
    </w:p>
    <w:p w14:paraId="6DB223EF"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Ví dụ: Công ty X là người nộp thuế có nghĩa vụ phải nộp bằng ngoại tệ nhưng được cơ quan có thẩm quyền cho phép nộp thuế bằng đồng Việt Nam. Công ty X mở tài khoản tại 3 ngân hàng là Ngân hàng A, Ngân hàng B và Ngân hàng C. Ngày 21/3/2015, tỷ giá mua vào đồng đô la Mỹ tại Ngân </w:t>
      </w:r>
      <w:r w:rsidRPr="009A4F87">
        <w:rPr>
          <w:rFonts w:ascii="Arial" w:hAnsi="Arial" w:cs="Arial"/>
          <w:sz w:val="20"/>
          <w:szCs w:val="20"/>
          <w:lang w:val="vi-VN"/>
        </w:rPr>
        <w:lastRenderedPageBreak/>
        <w:t xml:space="preserve">hàng A là 21.300 VND/USD, tại Ngân hàng B là 21.310 VND/USD, tại Ngân hàng C là 21.305 VND/USD. Ngày 21/3/2015, Công ty X nộp thuế bằng đồng Việt Nam tại tổ chức tín dụng D hoặc Kho bạc Nhà nước quận E thì Công ty X được áp dụng tỷ giá mua vào của một trong ba ngân hàng A, B, C. Nếu Công ty X nộp thuế bằng đồng Việt Nam tại Ngân hàng A thì áp dụng tỉ giá là 21.300 VND/USD. </w:t>
      </w:r>
    </w:p>
    <w:p w14:paraId="66197D03"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3. Trường hợp phát sinh doanh thu, chi phí, giá tính thuế bằng ngoại tệ thì phải quy đổi ngoại tệ ra đồng Việt Nam theo tỷ giá giao dịch thực tế theo hướng dẫn của Bộ Tài chính tại Thông tư số 200/2014/TT-BTC ngày 22 tháng 12 năm 2014 hướng dẫn về chế độ kế toán doanh nghiệp như sau:</w:t>
      </w:r>
    </w:p>
    <w:p w14:paraId="7ADDB939"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 Tỷ giá giao dịch thực tế để hạch toán doanh thu là tỷ giá mua vào của Ngân hàng thương mại nơi người nộp thuế mở tài khoản. </w:t>
      </w:r>
    </w:p>
    <w:p w14:paraId="2717B77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 Tỷ giá giao dịch thực tế để hạch toán chi phí là tỷ giá bán ra của Ngân hàng thương mại nơi người nộp thuế mở tài khoản tại thời điểm phát sinh giao dịch thanh toán ngoại tệ. </w:t>
      </w:r>
    </w:p>
    <w:p w14:paraId="53E54E14"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Các trường hợp cụ thể khác thực hiện theo hướng dẫn của Bộ Tài chính tại Thông tư số 200/2014/TT-BTC ngày 22 tháng 12 năm 2014.”</w:t>
      </w:r>
    </w:p>
    <w:p w14:paraId="1EF141EA"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5. Sửa đổi, bổ sung điểm a và điểm d Khoản 1 Điều 31 (đã được sửa đổi, bổ sung tại khoản 1 Điều 21 Thông tư 151/2014/TT-BTC) như sau:</w:t>
      </w:r>
    </w:p>
    <w:p w14:paraId="287A7005"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“1. Sửa đổi, bổ sung điểm a và điểm d Khoản 1 Điều 31 như sau:</w:t>
      </w:r>
    </w:p>
    <w:p w14:paraId="7C284AA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“a) Bị thiệt hại vật chất gây ảnh hưởng trực tiếp đến sản xuất, kinh doanh do gặp thiên tai, hỏa hoạn, tai nạn bất ngờ. </w:t>
      </w:r>
    </w:p>
    <w:p w14:paraId="30C3E206"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Thiệt hại vật chất là những tổn thất về tài sản của người nộp thuế, tính được bằng tiền như:</w:t>
      </w:r>
      <w:r w:rsidRPr="009A4F87">
        <w:rPr>
          <w:rFonts w:ascii="Arial" w:eastAsia="Batang" w:hAnsi="Arial" w:cs="Arial"/>
          <w:sz w:val="20"/>
          <w:szCs w:val="20"/>
          <w:lang w:val="vi-VN"/>
        </w:rPr>
        <w:t xml:space="preserve"> máy móc, thiết bị, phương tiện, vật tư, hàng hoá, nhà xưởng, trụ sở làm việc, tiền, các giấy tờ có giá trị như tiền.</w:t>
      </w:r>
      <w:r w:rsidRPr="009A4F87">
        <w:rPr>
          <w:rFonts w:ascii="Arial" w:hAnsi="Arial" w:cs="Arial"/>
          <w:sz w:val="20"/>
          <w:szCs w:val="20"/>
          <w:lang w:val="vi-VN"/>
        </w:rPr>
        <w:t xml:space="preserve"> </w:t>
      </w:r>
    </w:p>
    <w:p w14:paraId="65C2CA6F"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Tai nạn bất ngờ là việc không may xảy ra đột ngột ngoài ý muốn của người nộp thuế, do tác nhân bên ngoài gây ra làm ảnh hưởng trực tiếp đến hoạt động sản xuất, kinh doanh của người nộp thuế, không phải do nguyên nhân từ hành vi vi phạm pháp luật. Những trường hợp được coi là tai nạn bất ngờ bao gồm: tai nạn giao thông; tai nạn lao động; mắc bệnh hiểm nghèo; bị dịch bệnh truyền nhiễm vào thời gian và tại những vùng mà cơ quan có thẩm quyền đã công bố có dịch bệnh truyền nhiễm; các trường hợp bất khả kháng khác.</w:t>
      </w:r>
    </w:p>
    <w:p w14:paraId="7CDCDE6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Danh mục về bệnh hiểm nghèo thực hiện theo quy định tại các văn bản quy phạm pháp luật”.</w:t>
      </w:r>
    </w:p>
    <w:p w14:paraId="404C628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“d) Không có khả năng nộp thuế đúng hạn do gặp khó khăn đặc biệt khác.”</w:t>
      </w:r>
    </w:p>
    <w:p w14:paraId="4D6D3B99"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 xml:space="preserve">6. Bãi bỏ điểm c khoản 1, điểm c khoản 2, điểm c khoản 3 Điều 31 Thông tư 156/2013/TT-BTC ngày 06/11/2013 của Bộ Tài chính và khoản 2 Điều 21 Thông tư 151/2014/TT-BTC 10/10/2014 của Bộ Tài chính </w:t>
      </w:r>
    </w:p>
    <w:p w14:paraId="729432E6"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Đối với các trường hợp gia hạn nộp thuế theo quy định tại điểm c khoản 1 Điều 31 Thông tư 156/2013/TT-BTC ngày 06/11/2013 của Bộ Tài chính, cơ quan thuế đã ban hành quyết định gia hạn nộp thuế trước ngày 01/01/2015 thì được tiếp tục thực hiện đến khi hết hiệu lực của quyết định.</w:t>
      </w:r>
    </w:p>
    <w:p w14:paraId="3A7184FC"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7. Sửa đổi, bổ sung điểm d khoản 3 Điều 31 như sau:</w:t>
      </w:r>
    </w:p>
    <w:p w14:paraId="300792E3"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“d) Đối với trường hợp nêu tại điểm d khoản 1 Điều 31 Thông tư 156/2013/TT-BTC: </w:t>
      </w:r>
    </w:p>
    <w:p w14:paraId="2D9AD20D"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Văn bản đề nghị gia hạn nộp thuế của người nộp thuế theo mẫu số 01/GHAN ban hành kèm theo Thông tư 156/2013/TT-BTC;</w:t>
      </w:r>
    </w:p>
    <w:p w14:paraId="2779106B"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 Văn bản của cơ quan thuế quản lý trực tiếp gửi cơ quan thuế cấp trên, trong đó: xác nhận khó khăn đặc biệt và những nguyên nhân gây ra khó khăn đó mà người nộp thuế không có khả năng nộp đúng hạn số tiền thuế nợ theo đề nghị, giải trình của người nộp thuế tại văn bản đề nghị gia hạn; </w:t>
      </w:r>
    </w:p>
    <w:p w14:paraId="6A77AE96"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Bản sao các văn bản về gia hạn, xoá nợ, miễn thuế, giảm thuế đối với người nộp thuế của cơ quan thuế ban hành trong thời gian 02 (hai) năm trước đó (nếu có);</w:t>
      </w:r>
    </w:p>
    <w:p w14:paraId="0C71A8E8"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Quyết định của cơ quan nhà nước có thẩm quyền có ảnh hưởng đến sản xuất kinh doanh của người nộp thuế khi thực hiện quyết định (nếu có).”</w:t>
      </w:r>
    </w:p>
    <w:p w14:paraId="7F697BC8"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8. Sửa đổi điểm b.2 khoản 2 Điều 32 như sau:</w:t>
      </w:r>
    </w:p>
    <w:p w14:paraId="0CBEAE02"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lastRenderedPageBreak/>
        <w:t>"b.2) Nộp thay cho người nộp thuế trong trường hợp quá thời hạn nộp dần tiền thuế từng tháng mà người nộp thuế chưa nộp, bao gồm: số tiền thuế được nộp dần và số tiền chậm nộp tính theo mức 0,05% mỗi ngày.”</w:t>
      </w:r>
    </w:p>
    <w:p w14:paraId="0A262A11" w14:textId="77777777" w:rsidR="009A4F87" w:rsidRPr="009A4F87" w:rsidRDefault="009A4F87" w:rsidP="009A4F87">
      <w:pPr>
        <w:spacing w:after="120"/>
        <w:ind w:firstLine="720"/>
        <w:jc w:val="both"/>
        <w:rPr>
          <w:rFonts w:ascii="Arial" w:hAnsi="Arial" w:cs="Arial"/>
          <w:b/>
          <w:sz w:val="20"/>
          <w:szCs w:val="20"/>
          <w:lang w:val="vi-VN"/>
        </w:rPr>
      </w:pPr>
      <w:r w:rsidRPr="009A4F87">
        <w:rPr>
          <w:rFonts w:ascii="Arial" w:hAnsi="Arial" w:cs="Arial"/>
          <w:b/>
          <w:sz w:val="20"/>
          <w:szCs w:val="20"/>
          <w:lang w:val="vi-VN"/>
        </w:rPr>
        <w:t>9. Sửa đổi, bổ sung khoản 2 Điều 34 như sau:</w:t>
      </w:r>
    </w:p>
    <w:p w14:paraId="75288F83"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“2. Xác định tiền chậm nộp tiền thuế</w:t>
      </w:r>
    </w:p>
    <w:p w14:paraId="30167D6A"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a) Đối với khoản tiền thuế nợ phát sinh từ ngày 01/01/2015 thì tiền chậm nộp được tính theo mức 0,05% số tiền thuế chậm nộp tính trên mỗi ngày chậm nộp.</w:t>
      </w:r>
    </w:p>
    <w:p w14:paraId="69D629D7"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b) Đối với khoản tiền thuế nợ phát sinh trước ngày 01/01/2015 nhưng sau ngày 01/01/2015 vẫn chưa nộp thì tính như sau: trước ngày 01/01/2015 tính phạt chậm nộp, tiền chậm nộp theo quy định tại Luật quản lý thuế số 78/2006/QH11, Luật sửa đổi, bổ sung một số điều của Luật quản lý thuế số 21/2012/QH13, từ ngày 01/01/2015 tính tiền chậm nộp theo quy định tại Luật sửa đổi, bổ sung một số điều của các luật về thuế số 71/2014/QH13.</w:t>
      </w:r>
    </w:p>
    <w:p w14:paraId="5810113E"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Ví dụ 44: Người nộp thuế B nợ 100 triệu đồng tiền thuế GTGT thuộc tờ khai thuế GTGT tháng 8/2014, thời hạn nộp thuế chậm nhất là ngày 22/9/2014 (do ngày 20/9/2014 và ngày 21/9/2014 là ngày nghỉ). Ngày 20/01/2015 người nộp thuế nộp số tiền thuế này vào ngân sách nhà nước, số ngày chậm nộp được tính từ ngày 23/9/2014 đến ngày 20/01/2015, số tiền chậm nộp phải nộp là 6,2 triệu đồng. Cụ thể như sau:</w:t>
      </w:r>
    </w:p>
    <w:p w14:paraId="7B72663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xml:space="preserve">- Trước ngày 01/01/2015 tiền chậm nộp được tính như sau: </w:t>
      </w:r>
    </w:p>
    <w:p w14:paraId="6EC74A80"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Từ ngày 23/9/2014 đến ngày 21/12/2014, số ngày chậm nộp là 90 ngày: 100 triệu x 0,05% x 90 ngày = 4,5 triệu đồng.</w:t>
      </w:r>
    </w:p>
    <w:p w14:paraId="6E82157F"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Từ ngày 22/12/2014 đến ngày 31/12/2014, số ngày chậm nộp là 10 ngày: 100 triệu x 0,07% x 10 ngày = 0,7 triệu đồng.</w:t>
      </w:r>
    </w:p>
    <w:p w14:paraId="0F7F92DD"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 Từ ngày 01/01/2015 đến ngày 20/01/2015, số ngày chậm nộp là 20 ngày: 100 triệu x 0,05% x 20 ngày = 1 triệu đồng.”</w:t>
      </w:r>
    </w:p>
    <w:p w14:paraId="2C31E727" w14:textId="77777777" w:rsidR="009A4F87" w:rsidRPr="009A4F87" w:rsidRDefault="009A4F87" w:rsidP="009A4F87">
      <w:pPr>
        <w:spacing w:after="120"/>
        <w:ind w:firstLine="720"/>
        <w:jc w:val="both"/>
        <w:rPr>
          <w:rFonts w:ascii="Arial" w:hAnsi="Arial" w:cs="Arial"/>
          <w:sz w:val="20"/>
          <w:szCs w:val="20"/>
          <w:lang w:val="vi-VN"/>
        </w:rPr>
      </w:pPr>
      <w:r w:rsidRPr="009A4F87">
        <w:rPr>
          <w:rFonts w:ascii="Arial" w:hAnsi="Arial" w:cs="Arial"/>
          <w:sz w:val="20"/>
          <w:szCs w:val="20"/>
          <w:lang w:val="vi-VN"/>
        </w:rPr>
        <w:t>“e) Trường hợp người nộp thuế khai thiếu tiền thuế của kỳ thuế phát sinh trước ngày 01/01/2015 nhưng sau ngày 01/01/2015, cơ quan nhà nước có thẩm quyền phát hiện qua thanh tra, kiểm tra hoặc người nộp thuế tự phát hiện thì áp dụng tiền chậm nộp theo mức 0,05%/ngày tính trên số tiền thuế khai thiếu từ ngày phải nộp theo quy định của pháp luật đến ngày người nộp thuế nộp tiền thuế khai thiếu vào ngân sách nhà nước.”</w:t>
      </w:r>
    </w:p>
    <w:p w14:paraId="117D85DB"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10. Bổ sung Điều 34a như sau:</w:t>
      </w:r>
    </w:p>
    <w:p w14:paraId="1784EF5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“Điều 34a. Không tính tiền chậm nộp</w:t>
      </w:r>
    </w:p>
    <w:p w14:paraId="61DF7D3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1. Người nộp thuế cung ứng hàng hoá, dịch vụ được thanh toán bằng nguồn vốn ngân sách nhà nước nhưng chưa được đơn vị sử dụng vốn ngân sách nhà nước thanh toán (sau đây gọi chung là người nộp thuế) nên không nộp thuế kịp thời dẫn đến nợ thuế thì không phải nộp tiền chậm nộp tiền thuế.</w:t>
      </w:r>
    </w:p>
    <w:p w14:paraId="55D40DF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người nộp thuế cung ứng hàng hoá, dịch vụ được thanh toán một phần từ nguồn vốn ngân sách nhà nước, phần còn lại từ nguồn ngoài ngân sách, nhưng chưa được đơn vị sử dụng vốn ngân sách nhà nước thanh toán nên không nộp thuế kịp thời dẫn đến nợ thuế thì người nộp thuế không phải nộp tiền chậm nộp đối với số tiền thuế tương ứng với phần được thanh toán từ ngân sách nhà nước.</w:t>
      </w:r>
    </w:p>
    <w:p w14:paraId="4329565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Đơn vị sử dụng vốn ngân sách nhà nước là đơn vị mở tài khoản tại Kho bạc nhà nước được giao dự toán chi ngân sách nhà nước theo quy định của Luật ngân sách nhà nước.</w:t>
      </w:r>
    </w:p>
    <w:p w14:paraId="23E105C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Ví dụ: Người nộp thuế A cung cấp hàng hóa X cho đơn vị B (đơn vị sử dụng vốn ngân sách nhà nước) giá trị hàng hóa X là 100 triệu đồng, trong đó 40 triệu được thanh toán từ NSNN, 60 triệu được thanh toán từ nguồn ngoài ngân sách nhà nước. Người nộp thuế A chưa được đơn vị B thanh toán 100 triệu đồng.</w:t>
      </w:r>
    </w:p>
    <w:p w14:paraId="0AA70DB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Người nộp thuế A nợ thuế là 70 triệu đồng, người nộp thuế A thuộc trường hợp không phải nộp tiền chậm nộp đối với số thuế là 40 triệu đồng.</w:t>
      </w:r>
    </w:p>
    <w:p w14:paraId="45C5F35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2. Phạm vi số tiền thuế và thời gian không tính tiền chậm nộp tiền thuế đối với trường hợp người nộp thuế cung ứng hàng hoá, dịch vụ được thanh toán bằng nguồn vốn ngân sách nhà nước nhưng chưa được đơn vị sử dụng vốn ngân sách nhà nước thanh toán </w:t>
      </w:r>
    </w:p>
    <w:p w14:paraId="5614D32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lastRenderedPageBreak/>
        <w:t>a) Không tính tiền chậm nộp đối với số tiền thuế còn nợ, số tiền thuế nợ này không vượt quá số tiền ngân sách nhà nước chưa thanh toán cho người nộp thuế.</w:t>
      </w:r>
    </w:p>
    <w:p w14:paraId="77F55FB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người nộp thuế nợ thuế của nhiều kỳ kê khai thuế thì tổng số thuế nợ của các kỳ kê khai không vượt quá số tiền ngân sách nhà nước chưa thanh toán.</w:t>
      </w:r>
    </w:p>
    <w:p w14:paraId="1B6727C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b) Thời gian không tính chậm nộp tiền thuế được tính từ ngày người nộp thuế phải nộp thuế đến ngày đơn vị sử dụng vốn ngân sách nhà nước thanh toán cho người nộp thuế và không vượt quá thời gian ngân sách nhà nước chưa thanh toán cho người nộp thuế. </w:t>
      </w:r>
    </w:p>
    <w:p w14:paraId="5F6D239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3. Trình tự, thủ tục không tính tiền chậm nộp </w:t>
      </w:r>
    </w:p>
    <w:p w14:paraId="78FBBAE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Người nộp thuế thuộc trường hợp không phải nộp tiền chậm nộp theo quy định tại khoản 1 Điều này cung cấp cho cơ quan thuế quản lý trực tiếp văn bản xác nhận của đơn vị sử dụng vốn ngân sách nhà nước về việc người nộp thuế chưa được thanh toán theo mẫu số 01/TCN ban hành kèm theo Thông tư này.</w:t>
      </w:r>
    </w:p>
    <w:p w14:paraId="6C3D7E8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Cơ quan thuế ban hành quyết định về việc kiểm tra tại trụ sở của người nộp thuế, thời gian kiểm tra tối đa là 03 ngày làm việc. Sau khi kiểm tra, cơ quan thuế xác định:</w:t>
      </w:r>
    </w:p>
    <w:p w14:paraId="0E2C598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Nếu người nộp thuế thuộc trường hợp không phải nộp tiền chậm nộp thì cơ quan thuế ban hành thông báo về việc người nộp thuế không phải nộp tiền chậm nộp thuế.</w:t>
      </w:r>
    </w:p>
    <w:p w14:paraId="5672C74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Nếu người nộp thuế thuộc trường hợp phải nộp tiền chậm nộp thì cơ quan thuế ban hành thông báo về việc người nộp thuế phải nộp tiền chậm nộp thuế (thông báo tiền thuế nợ, tiền phạt và tiền chậm nộp) và cưỡng chế thi hành quyết định hành chính thuế theo quy định của pháp luật.</w:t>
      </w:r>
    </w:p>
    <w:p w14:paraId="0C542D6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Ví dụ: </w:t>
      </w:r>
    </w:p>
    <w:p w14:paraId="145EF29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Ngày 20/02/2015, người nộp thuế A nộp tờ khai thuế GTGT, số thuế phải nộp là 30 triệu đồng. Tại thời điểm này, ngân sách nhà nước chưa thanh toán cho người nộp thuế A số tiền là 100 triệu đồng. Sau khi kiểm tra, cơ quan thuế xác định người nộp thuế A thuộc trường hợp không phải nộp tiền chậm nộp đối với số thuế GTGT 30 triệu đồng đến khi được ngân sách nhà nước thanh toán.</w:t>
      </w:r>
    </w:p>
    <w:p w14:paraId="198D050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Đến ngày 31/3/2015, người nộp thuế A nộp quyết toán thuế TNDN, số tiền thuế TNDN phải nộp là 80 triệu đồng. Tại thời điểm này, ngân sách nhà nước vẫn chưa thanh toán cho người nộp thuế A số tiền 100 triệu đồng. Người nộp thuế A tiếp tục thuộc trường hợp không phải nộp tiền chậm nộp đối với số thuế TNDN 70 triệu đồng đến khi được ngân sách nhà nước thanh toán. Số tiền thuế còn lại là 10 triệu đồng, nếu người nộp thuế A chưa nộp vào ngân sách nhà nước theo quy định thì phải tính tiền chậm nộp.</w:t>
      </w:r>
    </w:p>
    <w:p w14:paraId="5206177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 Sau khi được ngân sách nhà nước thanh toán, người nộp thuế thực hiện nộp tiền thuế vào ngân sách nhà nước và thông báo cho cơ quan thuế theo mẫu số 02/TCN ban hành kèm theo Thông tư này để cơ quan thuế có cơ sở tính lại các khoản tiền thuế nợ, tiền chậm nộp và xác định chính xác số ngày không phải nộp tiền chậm nộp của người nộp thuế.</w:t>
      </w:r>
    </w:p>
    <w:p w14:paraId="4EBFD04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4. Trách nhiệm của người nộp thuế</w:t>
      </w:r>
    </w:p>
    <w:p w14:paraId="2FA5302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Người nộp thuế có trách nhiệm nộp tiền thuế vào ngân sách nhà nước ngay sau khi được đơn vị sử dụng vốn ngân sách nhà nước thanh toán cho người nộp thuế. </w:t>
      </w:r>
    </w:p>
    <w:p w14:paraId="6F34CFC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5. Trách nhiệm của đơn vị sử dụng vốn ngân sách nhà nước</w:t>
      </w:r>
    </w:p>
    <w:p w14:paraId="5815264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Đơn vị sử dụng vốn ngân sách nhà nước có trách nhiệm xác nhận tình trạng thanh toán cho người nộp thuế và chịu trách nhiệm trước pháp luật về việc xác nhận này.</w:t>
      </w:r>
    </w:p>
    <w:p w14:paraId="3E69F87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6. Trách nhiệm của cơ quan thuế</w:t>
      </w:r>
    </w:p>
    <w:p w14:paraId="026DA71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Cơ quan thuế thực hiện giám sát việc thực hiện nghĩa vụ thuế của người nộp thuế, nếu phát hiện người nộp thuế được đơn vị sử dụng vốn ngân sách nhà nước thanh toán nhưng không nộp kịp thời tiền thuế nợ vào ngân sách nhà nước thì cơ quan thuế ban hành thông báo tiền thuế nợ, tiền phạt và tiền chậm nộp, theo đó tính tiền chậm nộp kể từ ngày kế tiếp ngày người nộp thuế được thanh toán và thực hiện cưỡng chế thi hành quyết định hành chính thuế theo quy định của pháp luật.</w:t>
      </w:r>
    </w:p>
    <w:p w14:paraId="43AF666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Cơ quan thuế chưa thực hiện biện pháp cưỡng chế thi hành quyết định hành chính thuế đối với trường hợp không tính tiền chậm nộp theo quy định tại Điều này.</w:t>
      </w:r>
    </w:p>
    <w:p w14:paraId="3AF984B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7. Trách nhiệm của cơ quan Kho bạc nhà nước</w:t>
      </w:r>
    </w:p>
    <w:p w14:paraId="11647F6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lastRenderedPageBreak/>
        <w:t>Cơ quan Kho bạc nhà nước có trách nhiệm phối hợp với cơ quan thuế trong việc cung cấp thông tin về tình hình thanh toán nguồn vốn ngân sách nhà nước.”</w:t>
      </w:r>
    </w:p>
    <w:p w14:paraId="57775021"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11. Sửa đổi, bổ sung Điều 35 như sau:</w:t>
      </w:r>
    </w:p>
    <w:p w14:paraId="1749DC0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Sửa đổi, bổ sung Khoản 2 như sau:</w:t>
      </w:r>
    </w:p>
    <w:p w14:paraId="078BC54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“2. Xác định số tiền chậm nộp được miễn </w:t>
      </w:r>
    </w:p>
    <w:p w14:paraId="181CE80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Trường hợp người nộp thuế gặp thiên tai, hỏa hoạn, tai nạn bất ngờ, dịch bệnh: số tiền chậm nộp được miễn tính trên số tiền thuế còn nợ tại thời điểm xảy ra thiên tai, hỏa hoạn, tai nạn bất ngờ, dịch bệnh và số tiền chậm nộp được miễn này không vượt quá giá trị tài sản, hàng hoá bị thiệt hại.</w:t>
      </w:r>
    </w:p>
    <w:p w14:paraId="27FD175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Trường hợp người nộp thuế bị bệnh hiểm nghèo: số tiền chậm nộp được miễn tính trên số tiền thuế còn nợ tại thời điểm mắc bệnh hiểm nghèo và số tiền chậm nộp được miễn này không vượt quá chi phí khám, chữa bệnh.”</w:t>
      </w:r>
    </w:p>
    <w:p w14:paraId="337598E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 Trường hợp NNT gặp bất khả kháng khác: số tiền chậm nộp được miễn tính trên số tiền thuế còn nợ tại thời điểm gây nên tình trạng bất khả kháng khác và số tiền chậm nộp được miễn này không vượt quá giá trị tài sản, hàng hoá bị thiệt hại.”</w:t>
      </w:r>
    </w:p>
    <w:p w14:paraId="4176F0F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Sửa đổi, bổ sung điểm b.1, b.2 khoản 3 như sau:</w:t>
      </w:r>
    </w:p>
    <w:p w14:paraId="0B08006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“b.1) Trường hợp do thiên tai, hoả hoạn, tai nạn bất ngờ, dịch bệnh, phải có:</w:t>
      </w:r>
    </w:p>
    <w:p w14:paraId="4D04A89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Biên bản xác định mức độ, giá trị thiệt hại về tài sản của cơ quan có thẩm quyền như Hội đồng định giá do Sở Tài chính thành lập, hoặc các công ty định giá chuyên nghiệp cung cấp dịch vụ định giá theo hợp đồng, hoặc Trung tâm định giá của Sở Tài chính; </w:t>
      </w:r>
    </w:p>
    <w:p w14:paraId="46C3962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Văn bản xác nhận về việc người nộp thuế có thiệt hại tại nơi xảy ra thiên tai, hỏa hoạn, tai nạn bất ngờ và thời điểm xảy ra thiên tai, hỏa hoạn, tai nạn bất ngờ, dịch bệnh của một trong các cơ quan, tổ chức sau: công an cấp xã, phường hoặc UBND cấp xã, phường, Ban quản lý Khu công nghiệp, Khu chế xuất, Khu kinh tế nơi xảy ra thiên tai, hoả hoạn, tai nạn bất ngờ hoặc tổ chức cứu hộ, cứu nạn;</w:t>
      </w:r>
    </w:p>
    <w:p w14:paraId="5863F09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Hồ sơ bồi thường thiệt hại được cơ quan bảo hiểm chấp nhận bồi thường (nếu có);</w:t>
      </w:r>
    </w:p>
    <w:p w14:paraId="0D12BBD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Hồ sơ quy định trách nhiệm của tổ chức, cá nhân phải bồi thường (nếu có).</w:t>
      </w:r>
    </w:p>
    <w:p w14:paraId="22BBC8F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b.2) Trường hợp cá nhân bị bệnh hiểm nghèo thì phải có xác nhận đã khám chữa bệnh trên sổ y bạ, thời điểm xác nhận của cơ sở khám chữa bệnh được thành lập theo quy định của pháp luật; chi phí khám, chữa bệnh có đầy đủ chứng từ theo quy định; hồ sơ thanh toán chi phí khám, chữa bệnh của cơ quan bảo hiểm (nếu có).”</w:t>
      </w:r>
    </w:p>
    <w:p w14:paraId="1918B01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 Bổ sung Khoản 5 vào Điều 35 như sau:</w:t>
      </w:r>
    </w:p>
    <w:p w14:paraId="6328942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“5. Trình tự giải quyết hồ sơ miễn tiền chậm nộp</w:t>
      </w:r>
    </w:p>
    <w:p w14:paraId="26C8C40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Trong thời hạn 60 (sáu mươi) ngày kể từ ngày xảy ra gặp thiên tai, hỏa hoạn, tai nạn bất ngờ, dịch bệnh, bệnh hiểm nghèo hoặc trường hợp bất khả kháng khác người nộp thuế phải lập hồ sơ đề nghị miễn tiền chậm nộp gửi đến cơ quan thuế quản lý trực tiếp.</w:t>
      </w:r>
    </w:p>
    <w:p w14:paraId="7F1455C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Trường hợp hồ sơ đề nghị miễn tiền chậm nộp chưa đầy đủ theo quy định, trong thời hạn 03 (ba) ngày làm việc, kể từ ngày tiếp nhận hồ sơ, cơ quan thuế phải thông báo bằng văn bản cho người nộp thuế đề nghị giải trình hoặc bổ sung hồ sơ. Người nộp thuế phải giải trình hoặc bổ sung hồ sơ trong thời hạn 10 (mười) ngày làm việc kể từ ngày cơ quan thuế ban hành văn bản giải trình hoặc bổ sung hồ sơ.</w:t>
      </w:r>
    </w:p>
    <w:p w14:paraId="4A2B46A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Nếu người nộp thuế không hoàn chỉnh hồ sơ theo yêu cầu của cơ quan thuế thì người nộp thuế không thuộc trường hợp được miễn tiền chậm nộp.</w:t>
      </w:r>
    </w:p>
    <w:p w14:paraId="79413CD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 Trường hợp hồ sơ đề nghị miễn tiền chậm nộp đầy đủ, trong thời hạn 10 (mười) ngày làm việc kể từ ngày nhận được hồ sơ, cơ quan thuế quản lý trực tiếp ban hành văn bản gửi người nộp thuế:</w:t>
      </w:r>
    </w:p>
    <w:p w14:paraId="56C8FB3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c.1) Văn bản không chấp thuận đề nghị của người nộp thuế nếu người nộp thuế không đủ điều kiện được miễn tiền chậm nộp.</w:t>
      </w:r>
    </w:p>
    <w:p w14:paraId="77599264"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c.2) Quyết định về việc miễn tiền chậm nộp nếu người nộp thuế thuộc trường hợp được miễn tiền chậm nộp.”</w:t>
      </w:r>
    </w:p>
    <w:p w14:paraId="4251EF61"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lastRenderedPageBreak/>
        <w:t>12. Sửa đổi Điều 40 như sau:</w:t>
      </w:r>
    </w:p>
    <w:p w14:paraId="5C592930"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“Điều 40. Hoàn thành nghĩa vụ nộp thuế trong trường hợp xuất cảnh</w:t>
      </w:r>
    </w:p>
    <w:p w14:paraId="638E052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1. Người Việt Nam xuất cảnh để định cư ở nước ngoài, người Việt Nam định cư ở nước ngoài, người nước ngoài trước khi xuất cảnh từ Việt Nam phải hoàn thành nghĩa vụ nộp thuế.</w:t>
      </w:r>
    </w:p>
    <w:p w14:paraId="5A69A16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Cơ quan quản lý xuất nhập cảnh có trách nhiệm dừng việc xuất cảnh của cá nhân khi có thông báo bằng văn bản hoặc thông tin điện tử từ cơ quan quản lý thuế về việc người dự kiến xuất cảnh chưa hoàn thành nghĩa vụ thuế theo quy định của pháp luật trước khi xuất cảnh.”</w:t>
      </w:r>
    </w:p>
    <w:p w14:paraId="2161071E"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13. Sửa đổi khoản 2 Điều 54 như sau:</w:t>
      </w:r>
    </w:p>
    <w:p w14:paraId="225ACD9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Hồ sơ hoàn thuế</w:t>
      </w:r>
    </w:p>
    <w:p w14:paraId="108CC19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Giấy đề nghị hoàn thuế theo Hiệp định tránh đánh thuế hai lần theo mẫu số 02/ĐNHT ban hành kèm theo Thông tư này.</w:t>
      </w:r>
    </w:p>
    <w:p w14:paraId="02EC75A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Bản gốc (hoặc bản chụp đã được chứng thực) Giấy chứng nhận cư trú do cơ quan thuế của nước cư trú cấp đã được hợp pháp hóa lãnh sự (ghi rõ là đối tượng cư trú trong năm tính thuế nào).</w:t>
      </w:r>
    </w:p>
    <w:p w14:paraId="44699A4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Bản chụp hợp đồng kinh tế, hợp đồng cung cấp dịch vụ, hợp đồng đại lý, hợp đồng uỷ thác, hợp đồng chuyển giao công nghệ hay hợp đồng lao động ký với tổ chức, cá nhân Việt Nam, giấy chứng nhận tiền gửi tại Việt Nam, giấy chứng nhận góp vốn vào Công ty tại Việt Nam (tuỳ theo loại thu nhập trong từng trường hợp cụ thể) có xác nhận của người nộp thuế.</w:t>
      </w:r>
    </w:p>
    <w:p w14:paraId="225041C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Xác nhận của tổ chức, cá nhân Việt Nam ký kết hợp đồng về thời gian và tình hình hoạt động thực tế theo hợp đồng (trừ trường hợp hoàn thuế đối với hãng vận tải nước ngoài).</w:t>
      </w:r>
    </w:p>
    <w:p w14:paraId="7BF851A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Giấy ủy quyền trong trường hợp tổ chức, cá nhân uỷ quyền cho đại diện hợp pháp thực hiện thủ tục áp dụng Hiệp định.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14:paraId="0062204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tổ chức, cá nhân không thể cung cấp đủ các thông tin hoặc các tài liệu theo yêu cầu của Hồ sơ hoàn thuế theo Hiệp định, đề nghị giải trình cụ thể tại Giấy đề nghị hoàn thuế theo Hiệp định mẫu số 02/ĐNHT nêu trên để cơ quan thuế xem xét, quyết định.”</w:t>
      </w:r>
    </w:p>
    <w:p w14:paraId="4F7D3A1B"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14. Sửa đổi, bổ sung Điều 58 như sau:</w:t>
      </w:r>
    </w:p>
    <w:p w14:paraId="122AF06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Sửa đổi, bổ sung Khoản 2 như sau:</w:t>
      </w:r>
    </w:p>
    <w:p w14:paraId="1454A7E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Các trường hợp thuộc diện kiểm tra trước khi hoàn thuế</w:t>
      </w:r>
    </w:p>
    <w:p w14:paraId="0EBA53F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Hoàn thuế theo quy định của điều ước quốc tế mà nước Cộng hòa xã hội chủ nghĩa Việt Nam là thành viên. Riêng đối với hồ sơ hoàn thuế theo Hiệp định tránh đánh thuế hai lần của các hãng vận tải nước ngoài thì thực hiện theo hướng dẫn tại điểm b Khoản 14 Điều 2 Thông tư này.</w:t>
      </w:r>
    </w:p>
    <w:p w14:paraId="1D34C92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Người nộp thuế đề nghị hoàn thuế lần đầu, trừ trường hợp đề nghị hoàn thuế thu nhập cá nhân. Người nộp thuế đề nghị hoàn thuế lần đầu thuộc diện kiểm tra trước hoàn thuế là người nộp thuế có hồ sơ đề nghị hoàn thuế gửi đến cơ quan thuế lần đầu và thuộc đối tượng, trường hợp được hoàn thuế. Trường hợp người nộp thuế có hồ sơ đề nghị hoàn thuế gửi đến cơ quan thuế lần đầu nhưng không thuộc diện được hoàn thuế theo quy định thì lần đề nghị hoàn thuế kế tiếp theo vẫn xác định là đề nghị hoàn thuế lần đầu.</w:t>
      </w:r>
    </w:p>
    <w:p w14:paraId="0D16D35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Người nộp thuế đề nghị hoàn thuế trong thời hạn 02 (hai) năm, kể từ thời điểm bị xử lý về hành vi trốn thuế, gian lận về thuế.</w:t>
      </w:r>
    </w:p>
    <w:p w14:paraId="3FB74E9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Trường hợp người nộp thuế có nhiều lần đề nghị hoàn thuế trong thời hạn 02 (hai) năm, nếu trong lần đề nghị hoàn thuế đầu tiên tính từ sau thời điểm bị xử lý về hành vi trốn thuế, gian lận về thuế, cơ quan thuế kiểm tra hồ sơ hoàn thuế của người nộp thuế không có hành vi khai sai dẫn đến thiếu số tiền thuế phải nộp hoặc tăng số tiền thuế được hoàn quy định tại khoản 33 Điều 1 Luật sửa đổi, bổ sung một số điều của Luật Quản lý thuế, hoặc hành vi trốn thuế, gian lận thuế quy định tại Điều 108 Luật Quản lý thuế và khoản 34 Điều 1 Luật sửa đổi, bổ sung một số điều của Luật Quản lý thuế thì những lần đề nghị hoàn thuế tiếp theo, hồ sơ hoàn thuế của người nộp thuế không thuộc diện kiểm tra trước khi hoàn thuế. Trường hợp phát hiện những lần đề nghị hoàn thuế tiếp theo, người nộp thuế vẫn có hành vi khai sai đối với hồ sơ hoàn thuế, hành vi trốn thuế, gian lận thuế quy định tại khoản 33 Điều 1 Luật sửa đổi, bổ sung một số điều của Luật Quản lý thuế, Điều 108 Luật Quản lý thuế và khoản 34 </w:t>
      </w:r>
      <w:r>
        <w:rPr>
          <w:rFonts w:ascii="Arial" w:hAnsi="Arial" w:cs="Arial"/>
          <w:sz w:val="20"/>
          <w:szCs w:val="20"/>
        </w:rPr>
        <w:lastRenderedPageBreak/>
        <w:t>Điều 1 Luật sửa đổi, bổ sung một số điều của Luật Quản lý thuế thì hồ sơ đề nghị hoàn thuế vẫn thuộc đối tượng kiểm tra trước hoàn theo đúng thời hạn 02 (hai) năm kể từ thời điểm bị xử lý về hành vi trốn thuế, gian lận về thuế.</w:t>
      </w:r>
    </w:p>
    <w:p w14:paraId="764F768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Hàng hóa, dịch vụ trong bộ hồ sơ hoàn thuế của người nộp thuế không thực hiện giao dịch thanh toán qua ngân hàng theo quy định, bao gồm cả hàng hóa, dịch vụ mua bán trong nội địa và hàng hóa, dịch vụ xuất khẩu, nhập khẩu. Quy định này không áp dụng đối với hồ sơ hoàn thuế GTGT, cụ thể: Trường hợp hàng hóa, dịch vụ trong bộ hồ sơ đề nghị hoàn thuế GTGT không thực hiện thanh toán qua ngân hàng theo quy định của pháp luật thuế GTGT thì cơ quan thuế không phải thực hiện kiểm tra tại trụ sở người nộp thuế trước khi hoàn thuế và xử lý không hoàn thuế GTGT đối với số thuế GTGT liên quan đến hàng hóa, dịch vụ này.</w:t>
      </w:r>
    </w:p>
    <w:p w14:paraId="6182502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Doanh nghiệp sáp nhập, hợp nhất, chia, tách, giải thể, phá sản, chuyển đổi hình thức sở hữu, chấm dứt hoạt động; giao, bán, khoán, cho thuê doanh nghiệp nhà nước.</w:t>
      </w:r>
    </w:p>
    <w:p w14:paraId="5F4932B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Hết thời hạn theo thông báo bằng văn bản của cơ quan thuế nhưng người nộp thuế không giải trình, bổ sung hồ sơ hoàn thuế; hoặc có giải trình, bổ sung lần hai nhưng không chứng minh được số thuế đã khai là đúng. Quy định này không áp dụng đối với phần hàng hóa, dịch vụ đủ điều kiện và thủ tục hoàn thuế theo quy định.”</w:t>
      </w:r>
    </w:p>
    <w:p w14:paraId="162C8FA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Sửa đổi, bổ sung Khoản 4 như sau:</w:t>
      </w:r>
    </w:p>
    <w:p w14:paraId="46907B7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“4. Kiểm tra sau hoàn thuế đối với hồ sơ thuộc diện hoàn thuế trước, kiểm tra sau</w:t>
      </w:r>
    </w:p>
    <w:p w14:paraId="2FDE91F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Việc kiểm tra sau hoàn thuế phải được thực hiện trong thời hạn 01 (một) năm, kể từ ngày có quyết định hoàn thuế đối với các trường hợp sau:</w:t>
      </w:r>
    </w:p>
    <w:p w14:paraId="0891F6D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Cơ sở kinh doanh kê khai lỗ 02 (hai) năm liên tục liền kề trước năm có quyết định hoàn thuế hoặc có số lỗ vượt quá vốn chủ sở hữu tính đến năm liền kề trước năm có quyết định hoàn thuế. Số lỗ được xác định theo hồ sơ quyết toán thuế thu nhập doanh nghiệp; trường hợp có biên bản thanh tra, kiểm tra của cơ quan quản lý nhà nước có thẩm quyền thì số lỗ được xác định theo kết luận thanh tra, kiểm tra.</w:t>
      </w:r>
    </w:p>
    <w:p w14:paraId="62B653B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Cơ sở kinh doanh được hoàn thuế từ hoạt động kinh doanh bất động sản, kinh doanh thương mại, dịch vụ. Trường hợp cơ sở sản xuất kinh doanh ngành nghề tổng hợp không tách riêng được số thuế được hoàn từ hoạt động kinh doanh bất động sản, thương mại, dịch vụ mà có tỷ lệ doanh thu của hoạt động kinh doanh bất động sản, thương mại, dịch vụ trên tổng doanh thu của toàn bộ hoạt động sản xuất kinh doanh của cơ sở sản xuất kinh doanh của kỳ phát sinh số thuế đề nghị hoàn từ trên 50% trở lên thì áp dụng kiểm tra sau hoàn trong thời hạn 01 (một) năm, kể từ ngày có quyết định hoàn thuế.</w:t>
      </w:r>
    </w:p>
    <w:p w14:paraId="07B7731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Cơ sở kinh doanh thay đổi trụ sở từ 02 (hai) lần trở lên trong vòng 12 (mười hai) tháng kể từ ngày có quyết định hoàn thuế trở về trước;</w:t>
      </w:r>
    </w:p>
    <w:p w14:paraId="23C8309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Cơ sở kinh doanh có sự thay đổi bất thường về doanh thu tính thuế và số thuế được hoàn trong giai đoạn 12 (mười hai) tháng, kể từ ngày có quyết định hoàn thuế trở về trước.</w:t>
      </w:r>
    </w:p>
    <w:p w14:paraId="51FD2A3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Các hãng vận tải nước ngoài đề nghị hoàn thuế theo Hiệp định tránh đánh thuế hai lần.</w:t>
      </w:r>
    </w:p>
    <w:p w14:paraId="784A12A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Đối với trường hợp không thuộc quy định tại điểm a khoản này, việc kiểm tra sau hoàn thuế được thực hiện theo nguyên tắc quản lý rủi ro trong thời hạn 10 (mười) năm, kể từ ngày có quyết định hoàn thuế.”</w:t>
      </w:r>
    </w:p>
    <w:p w14:paraId="4CBAFFEA"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Điều 3. Sửa đổi, bổ sung một số điều của Thông tư số 39/2014/TT-BTC ngày 31/3/2014 hướng dẫn thi hành Nghị định số 51/2010/NĐ-CP ngày 14 tháng 5 năm 2010 và Nghị định số 04/2014/NĐ-CP ngày 17 tháng 01 năm 2014 của Chính phủ quy định về hoá đơn bán hàng hóa, cung ứng dịch vụ như sau:</w:t>
      </w:r>
    </w:p>
    <w:p w14:paraId="3CF88D19"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1. Sửa đổi điểm k Khoản 1 Điều 4 như sau:</w:t>
      </w:r>
    </w:p>
    <w:p w14:paraId="2649D0C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“k) Hóa đơn được thể hiện bằng tiếng Việt. Trường hợp cần ghi thêm chữ nước ngoài thì chữ nước ngoài được đặt bên phải trong ngoặc đơn ( ) hoặc đặt ngay dưới dòng tiếng Việt và có cỡ nhỏ hơn chữ tiếng Việt. </w:t>
      </w:r>
    </w:p>
    <w:p w14:paraId="78DBFE5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Chữ số ghi trên hóa đơn là các chữ số tự nhiên: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 </w:t>
      </w:r>
    </w:p>
    <w:p w14:paraId="2AB966D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lastRenderedPageBreak/>
        <w:t>Dòng tổng tiền thanh toán trên hóa đơn phải được ghi bằng chữ. Trường hợp chữ trên hóa đơn là chữ tiếng Việt không dấu thì các chữ viết không dấu trên hóa đơn phải đảm bảo không dẫn tới cách hiểu sai lệch nội dung của hóa đơn</w:t>
      </w:r>
    </w:p>
    <w:p w14:paraId="25AA025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Mỗi mẫu hoá đơn sử dụng của một tổ chức, cá nhân phải có cùng kích thước (trừ trường hợp hoá đơn tự in trên máy tính tiền được in từ giấy cuộn không nhất thiết cố định độ dài, độ dài của hoá đơn phụ thuộc vào độ dài của danh mục hàng hoá bán ra).”</w:t>
      </w:r>
    </w:p>
    <w:p w14:paraId="0627C594"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2. Sửa đổi gạch đầu dòng cuối điểm b Khoản 1 Điều 6 như sau:</w:t>
      </w:r>
    </w:p>
    <w:p w14:paraId="3ED384A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Có văn bản đề nghị sử dụng hóa đơn tự in (Mẫu số 3.14 Phụ lục 3 ban hành kèm theo Thông tư này) và được cơ quan thuế quản lý trực tiếp xác nhận đủ điều kiện. Trong thời hạn 5 ngày làm việc kể từ khi nhận được văn bản đề nghị của doanh nghiệp, cơ quan thuế quản lý trực tiếp phải có ý kiến về điều kiện sử dụng hóa đơn tự in của doanh nghiệp (Mẫu số 3.15 Phụ lục 3 ban hành kèm theo Thông tư này).</w:t>
      </w:r>
    </w:p>
    <w:p w14:paraId="5395A66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sau 5 ngày làm việc cơ quan quản lý thuế trực tiếp không có ý kiến bằng văn bản thì doanh nghiệp được sử dụng hóa đơn tự in. Thủ trưởng cơ quan thuế phải chịu trách nhiệm về việc không có ý kiến bằng văn bản trả lời doanh nghiệp.”</w:t>
      </w:r>
    </w:p>
    <w:p w14:paraId="2F1CC6A8"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3. Bổ sung khoản 4 vào Điều 7 như sau:</w:t>
      </w:r>
    </w:p>
    <w:p w14:paraId="7DFDF8B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“4. Người nộp thuế (bao gồm cả tổ chức và cá nhân) kinh doanh thuộc trường hợp rủi ro cao về thuế thì lập hóa đơn điện tử và gửi thông tin trên hóa đơn bằng phương thức điện tử cho cơ quan thuế để nhận mã xác thực hóa đơn từ cơ quan thuế. Các trường hợp phải sử dụng hóa đơn điện tử có mã xác thực của cơ quan thuế được thực hiện theo hướng dẫn riêng của Bộ Tài chính.”</w:t>
      </w:r>
    </w:p>
    <w:p w14:paraId="133A7A17"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4. Sửa đổi khổ cuối điểm b Khoản 1 Điều 8 như sau:</w:t>
      </w:r>
    </w:p>
    <w:p w14:paraId="456A8B7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“Trong thời hạn 5 ngày làm việc kể từ khi nhận được đề nghị của tổ chức, doanh nghiệp, cơ quan thuế quản lý trực tiếp phải có Thông báo về việc sử dụng hóa đơn đặt in (Mẫu số 3.15 Phụ lục 3 ban hành kèm theo Thông tư này).</w:t>
      </w:r>
    </w:p>
    <w:p w14:paraId="2375162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sau 5 ngày làm việc cơ quan quản lý thuế trực tiếp không có ý kiến bằng văn bản thì doanh nghiệp được sử dụng hóa đơn đặt in. Thủ trưởng cơ quan thuế phải chịu trách nhiệm về việc không có ý kiến bằng văn bản trả lời doanh nghiệp.”</w:t>
      </w:r>
    </w:p>
    <w:p w14:paraId="5DE04377"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5. Sửa đổi Khoản 2 Điều 9 như sau:</w:t>
      </w:r>
    </w:p>
    <w:p w14:paraId="7F890FE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Nội dung Thông báo phát hành hóa đơn gồm: tên đơn vị phát hành hoá đơn, mã số thuế, địa chỉ, điện thoại, các loại hoá đơn phát hành (tên loại hóa đơn, ký hiệu hóa đơn, ký hiệu mẫu số hóa đơn, ngày bắt đầu sử dụng, số lượng hóa đơn thông báo phát hành (từ số... đến số...)), tên và mã số thuế của doanh nghiệp in hoá đơn (đối với hoá đơn đặt in), tên và mã số thuế (nếu có) của tổ chức cung ứng phần mềm tự in hoá đơn (đối với hoá đơn tự in), tên và mã số thuế (nếu có) của tổ chức trung gian cung cấp giải pháp hoá đơn điện tử (đối với hoá đơn điện tử); ngày lập Thông báo phát hành, tên, chữ ký của người đại diện theo pháp luật và dấu của đơn vị.</w:t>
      </w:r>
    </w:p>
    <w:p w14:paraId="4833414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các ngân hàng, tổ chức tín dụng và các chi nhánh ngân hàng, tổ chức tín dụng sử dụng chứng từ giao dịch kiêm hoá đơn thu phí dịch vụ tự in thì gửi Thông báo phát hành hoá đơn kèm theo hoá đơn mẫu đến cơ quan thuế quản lý, đăng ký cấu trúc tạo số hoá đơn, không phải đăng ký trước số lượng phát hành.</w:t>
      </w:r>
    </w:p>
    <w:p w14:paraId="715BCAC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Đối với các số hoá đơn đã thực hiện thông báo phát hành nhưng chưa sử dụng hết có in sẵn tên, địa chỉ trên tờ hoá đơn, khi có sự thay đổi tên, địa chỉ nhưng không thay đổi mã số thuế và cơ quan thuế quản lý trực tiếp, nếu tổ chức kinh doanh vẫn có nhu cầu sử dụng hoá đơn đã đặt in thì thực hiện đóng dấu tên, địa chỉ mới vào bên cạnh tiêu thức tên, địa chỉ đã in sẵn để tiếp tục sử dụng và gửi thông báo điều chỉnh thông tin tại thông báo phát hành hoá đơn đến cơ quan thuế quản lý trực tiếp (mẫu số 3.13 Phụ lục 3 ban hành kèm theo Thông tư này).</w:t>
      </w:r>
    </w:p>
    <w:p w14:paraId="697E546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Trường hợp có sự thay đổi địa chỉ kinh doanh dẫn đến thay đổi cơ quan thuế quản lý trực tiếp, nếu tổ chức có nhu cầu tiếp tục sử dụng số hoá đơn đã phát hành chưa sử dụng hết thì phải nộp báo cáo tình hình sử dụng hóa đơn với cơ quan thuế nơi chuyển đi và đóng dấu địa chỉ mới lên hoá đơn, gửi bảng kê hoá đơn chưa sử dụng (mẫu số 3.10 Phụ lục 3 ban hành kèm theo Thông tư này) và thông báo điều chỉnh thông tin tại thông báo phát hành hoá đơn đến cơ quan thuế nơi chuyển đến (trong đó nêu rõ số hóa đơn đã phát hành chưa sử dụng, sẽ tiếp tục sử dụng). Nếu tổ chức không có nhu cầu sử dụng số hoá đơn đã phát hành nhưng chưa sử dụng hết thì thực hiện huỷ các số hoá đơn chưa sử </w:t>
      </w:r>
      <w:r>
        <w:rPr>
          <w:rFonts w:ascii="Arial" w:hAnsi="Arial" w:cs="Arial"/>
          <w:sz w:val="20"/>
          <w:szCs w:val="20"/>
        </w:rPr>
        <w:lastRenderedPageBreak/>
        <w:t>dụng và thông báo kết quả huỷ hoá đơn với cơ quan thuế nơi chuyển đi và thực hiện thông báo phát hành hoá đơn mới với cơ quan thuế nơi chuyển đến.</w:t>
      </w:r>
    </w:p>
    <w:p w14:paraId="2E7820A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có sự thay đổi về nội dung đã thông báo phát hành, tổ chức kinh doanh phải thực hiện thông báo phát hành mới theo hướng dẫn tại khoản này.”</w:t>
      </w:r>
    </w:p>
    <w:p w14:paraId="5188589D"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 xml:space="preserve">6. Bổ sung khoản 2 vào Điều 14 như sau: </w:t>
      </w:r>
    </w:p>
    <w:p w14:paraId="76BC6B9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Người nộp thuế (bao gồm cả tổ chức và cá nhân) kinh doanh trong lĩnh vực nhà hàng, khách sạn, siêu thị và một số hàng hóa, dịch vụ khác có sử dụng hệ thống máy tính tiền, hệ thống cài đặt phần mềm bán hàng để thanh toán thì thực hiện kết nối với cơ quan thuế để gửi thông tin cho cơ quan thuế theo lộ trình triển khai của cơ quan thuế.”</w:t>
      </w:r>
    </w:p>
    <w:p w14:paraId="3578FAB7"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7. Sửa đổi, bổ sung Điều 16 như sau:</w:t>
      </w:r>
    </w:p>
    <w:p w14:paraId="7D371D6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Sửa đổi, bổ sung điểm b Khoản 1 Điều 16 (đã được sửa đổi, bổ sung tại Khoản 3 Điều 5 Thông tư số 119/2014/TT-BTC) như sau:</w:t>
      </w:r>
    </w:p>
    <w:p w14:paraId="46704AAB"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Người bán phải lập hóa đơn khi bán hàng hóa, dịch vụ, bao gồm cả các trường hợp hàng hoá, dịch vụ dùng để khuyến mại, quảng cáo, hàng mẫu; hàng hoá, dịch vụ dùng để cho, biếu, tặng, trao đổi, trả thay lương cho người lao động (trừ hàng hoá luân chuyển nội bộ, tiêu dùng nội bộ để tiếp tục quá trình sản xuất).</w:t>
      </w:r>
    </w:p>
    <w:p w14:paraId="5CED4FF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Nội dung trên hóa đơn phải đúng nội dung nghiệp vụ kinh tế phát sinh; 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 Trường hợp hoá đơn tự in hoặc hoá đơn đặt in được lập bằng máy tính nếu có phần còn trống trên hoá đơn thì không phải gạch chéo.”</w:t>
      </w:r>
    </w:p>
    <w:p w14:paraId="1721D2BC"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b) Sửa đổi, bổ sung điểm b Khoản 2 Điều 16 như sau:</w:t>
      </w:r>
    </w:p>
    <w:p w14:paraId="079E308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“b) Tiêu thức “Tên, địa chỉ, mã số thuế của người bán”, “tên, địa chỉ, mã số thuế của người mua” </w:t>
      </w:r>
    </w:p>
    <w:p w14:paraId="5AB816F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Người bán phải ghi đúng tiêu thức “mã số thuế” của người mua và người bán. </w:t>
      </w:r>
    </w:p>
    <w:p w14:paraId="6355C17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Tiêu thức “tên, địa chỉ” của người bán, người mua phải viết đầy đủ, trường hợp viết tắt thì phải đảm bảo xác định đúng người mua, người bán. </w:t>
      </w:r>
    </w:p>
    <w:p w14:paraId="6BECEEB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 </w:t>
      </w:r>
    </w:p>
    <w:p w14:paraId="7B8ECA8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14:paraId="2FFD8EF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hoá đơn” hoặc “người mua không cung cấp tên, địa chỉ, mã số thuế.</w:t>
      </w:r>
    </w:p>
    <w:p w14:paraId="2D626A6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Riêng đối với các đơn vị bán lẻ xăng dầu, nếu người mua không yêu cầu lấy hoá đơn, cuối ngày đơn vị phải lập chung một hoá đơn cho tổng doanh thu người mua không lấy hoá đơn phát sinh trong ngày. </w:t>
      </w:r>
    </w:p>
    <w:p w14:paraId="3399C97D"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Trường hợp hóa đơn đã lập có sai sót về tên, địa chỉ người mua nhưng ghi đúng mã số thuế người mua thì các bên lập biên bản điều chỉnh và không phải lập hóa đơn điều chỉnh. Các trường hợp hóa đơn đã lập có sai sót khác thực hiện theo hướng dẫn tại Điều 20 Thông tư số 39/2014/TT-BTC của Bộ Tài chính.”</w:t>
      </w:r>
    </w:p>
    <w:p w14:paraId="2DD39DD9"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 xml:space="preserve">8. Ban hành kèm theo Thông tư này các mẫu sau: </w:t>
      </w:r>
    </w:p>
    <w:p w14:paraId="2A5B54B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a) Mẫu Thông báo phát hành hóa đơn (mẫu TB01/AC) loại dành cho tổ chức, doanh nghiệp thay thế cho mẫu Thông báo phát hành hóa đơn (mẫu TB01/AC) ban hành kèm theo Thông tư số 39/2014/TT-BTC ngày 31/3/2014 của Bộ Tài chính. </w:t>
      </w:r>
    </w:p>
    <w:p w14:paraId="0CCDC3E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lastRenderedPageBreak/>
        <w:t xml:space="preserve">b) Mẫu Thông báo phát hành hóa đơn (mẫu TB02/AC) loại dành cho Cục Thuế thay thế cho mẫu Thông báo phát hành hóa đơn (mẫu TB02/AC) ban hành kèm theo Thông tư số 39/2014/TT-BTC ngày 31/3/2014 của Bộ Tài chính. </w:t>
      </w:r>
    </w:p>
    <w:p w14:paraId="4CE0489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c) Mẫu Báo cáo về việc nhận in/cung cấp phần mềm tự in hóa đơn (mẫu số BC01/AC) thay thế cho mẫu Báo cáo về việc nhận in/cung cấp phần mềm tự in hóa đơn (mẫu số BC01/AC) ban hành kèm theo Thông tư số 39/2014/TT-BTC ngày 31/3/2014 của Bộ Tài chính. </w:t>
      </w:r>
    </w:p>
    <w:p w14:paraId="534D5EA9" w14:textId="77777777" w:rsidR="009A4F87" w:rsidRDefault="009A4F87" w:rsidP="009A4F87">
      <w:pPr>
        <w:spacing w:after="120"/>
        <w:ind w:firstLine="720"/>
        <w:jc w:val="both"/>
        <w:rPr>
          <w:rFonts w:ascii="Arial" w:hAnsi="Arial" w:cs="Arial"/>
          <w:b/>
          <w:sz w:val="20"/>
          <w:szCs w:val="20"/>
        </w:rPr>
      </w:pPr>
      <w:bookmarkStart w:id="0" w:name="_GoBack"/>
      <w:bookmarkEnd w:id="0"/>
      <w:r>
        <w:rPr>
          <w:rFonts w:ascii="Arial" w:hAnsi="Arial" w:cs="Arial"/>
          <w:b/>
          <w:sz w:val="20"/>
          <w:szCs w:val="20"/>
        </w:rPr>
        <w:t xml:space="preserve">9. Sửa đổi, bổ sung điểm 2.4 Phụ lục 4 như sau: </w:t>
      </w:r>
    </w:p>
    <w:p w14:paraId="5A354DC3"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“2.4. Sử dụng hoá đơn, chứng từ đối với hàng hoá, dịch vụ khuyến mại, quảng cáo, hàng mẫu, cho, biếu, tặng đối với tổ chức kê khai, nộp thuế GTGT theo phương pháp khấu trừ: </w:t>
      </w:r>
    </w:p>
    <w:p w14:paraId="49F51FE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a) Đối với sản phẩm, hàng hóa, dịch vụ dùng để khuyến mại theo quy định của pháp luật về thương mại thì phải lập hoá đơn, trên hoá đơn ghi tên và số lượng hàng hoá, ghi rõ là hàng khuyến mại, quảng cáo, hàng mẫu và thực hiện theo hướng dẫn của pháp luật về thuế GTGT.</w:t>
      </w:r>
    </w:p>
    <w:p w14:paraId="5BD600F7"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Đối với hàng hoá, dịch vụ dùng để cho, biếu, tặng, trao đổi, trả thay lương cho người lao động thì phải lập hoá đơn GTGT (hoặc hoá đơn bán hàng), trên hoá đơn ghi đầy đủ các chỉ tiêu và tính thuế GTGT như hoá đơn xuất bán hàng hoá, dịch vụ cho khách hàng.”</w:t>
      </w:r>
    </w:p>
    <w:p w14:paraId="3BEFDCF8"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t>Điều 4. Hiệu lực thi hành</w:t>
      </w:r>
    </w:p>
    <w:p w14:paraId="7BFCFCB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1. Thông tư này có hiệu lực thi hành kể từ ngày Luật số 71/2014/QH13 về sửa đổi, bổ sung một số điều của các Luật về thuế và Nghị định số 12/2015/NĐ-CP ngày 12/2/2015 của Chính phủ quy chi tiết thi hành Luật sửa đổi, bổ sung một số điều của các Luật về thuế và sửa đổi bổ sung một số điều của các Nghị định về thuế có hiệu lực thi hành.</w:t>
      </w:r>
    </w:p>
    <w:p w14:paraId="3378FF62"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Đối với hợp đồng mua máy móc, thiết bị chuyên dùng phục vụ cho sản xuất nông nghiệp ký trước ngày có hiệu lực áp dụng của Luật số 71/2014/QH13 (các loại máy quy định tại Khoản 11 Điều 10 Thông tư số 219/2013/TT-BTC được sửa đổi, bổ sung tại Khoản 2 Điều 1 Thông tư này) nhưng thời điểm chuyển giao quyền sở hữu, quyền sử dụng sau ngày Luật số 71/2014/QH13 có hiệu lực áp dụng thì các bên thực hiện theo quy định tại Khoản 2 Điều 1 Thông tư này.</w:t>
      </w:r>
    </w:p>
    <w:p w14:paraId="43EA1DE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3. Đối với hợp đồng đóng tàu đánh bắt xa bờ được ký trước ngày 01/01/2015 theo giá đã có thuế GTGT nhưng đến thời điểm ngày 31/12/2014 chưa hoàn thành, bàn giao mà thời điểm hoàn thành, bàn giao thực tế sau ngày 01/01/2015 thì toàn bộ giá trị tàu đánh bắt xa bờ thực hiện theo hướng dẫn tại Khoản 2 Điều 1 Thông tư này. </w:t>
      </w:r>
    </w:p>
    <w:p w14:paraId="078A15D1"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4. Bãi bỏ các nội dung liên quan đến Bảng kê hóa đơn, chứng từ hàng hóa, dịch vụ mua vào, bán ra và các nội dung quy định về tỷ giá khi xác định doanh thu, giá tính thuế tại:</w:t>
      </w:r>
    </w:p>
    <w:p w14:paraId="57739FCF"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Thông tư số 05/2012/TT-BTC ngày 05/01/2012 của Bộ Tài chính hướng dẫn thi hành Nghị định số 26/2009/NĐ-CP ngày 16/3/2009 và Nghị định số 113/2011/NĐ-CP ngày 08/12/2011 của Chính phủ quy định chi tiết thi hành một số điều của Luật thuế tiêu thụ đặc biệt.</w:t>
      </w:r>
    </w:p>
    <w:p w14:paraId="09C69A79"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 </w:t>
      </w:r>
    </w:p>
    <w:p w14:paraId="2320D85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p>
    <w:p w14:paraId="3E1961C5"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w:t>
      </w:r>
    </w:p>
    <w:p w14:paraId="6EC89150"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5. Đối với các hồ sơ Thông báo miễn, giảm thuế theo Hiệp định đã được nộp cho cơ quan thuế trước Thông tư này có hiệu lực thi hành, đại lý của hãng vận tải nước ngoài tại Việt Nam hoặc văn phòng đại diện của hãng vận tải nước ngoài thực hiện lưu trữ các hồ sơ, tài liệu, chứng từ theo quy định tại Thông tư này.</w:t>
      </w:r>
    </w:p>
    <w:p w14:paraId="1F7BA698"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6. Trong quá trình thực hiện, nếu các văn bản liên quan đề cập tại Thông tư này được sửa đổi, bổ sung hoặc thay thế thì thực hiện theo văn bản mới được sửa đổi, bổ sung hoặc thay thế.</w:t>
      </w:r>
    </w:p>
    <w:p w14:paraId="65B2EADC" w14:textId="77777777" w:rsidR="009A4F87" w:rsidRDefault="009A4F87" w:rsidP="009A4F87">
      <w:pPr>
        <w:spacing w:after="120"/>
        <w:ind w:firstLine="720"/>
        <w:jc w:val="both"/>
        <w:rPr>
          <w:rFonts w:ascii="Arial" w:hAnsi="Arial" w:cs="Arial"/>
          <w:b/>
          <w:sz w:val="20"/>
          <w:szCs w:val="20"/>
        </w:rPr>
      </w:pPr>
      <w:r>
        <w:rPr>
          <w:rFonts w:ascii="Arial" w:hAnsi="Arial" w:cs="Arial"/>
          <w:b/>
          <w:sz w:val="20"/>
          <w:szCs w:val="20"/>
        </w:rPr>
        <w:lastRenderedPageBreak/>
        <w:t>Điều 5. Trách nhiệm thi hành</w:t>
      </w:r>
    </w:p>
    <w:p w14:paraId="1BE8EB5E"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 xml:space="preserve">1. Uỷ ban nhân dân các tỉnh, thành phố trực thuộc Trung ương chỉ đạo các cơ quan chức năng tổ chức thực hiện đúng theo quy định của Chính phủ và hướng dẫn của Bộ Tài chính. </w:t>
      </w:r>
    </w:p>
    <w:p w14:paraId="519A28C6"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2. Cơ quan thuế các cấp có trách nhiệm phổ biến, hướng dẫn các tổ chức, cá nhân thực hiện theo nội dung Thông tư này.</w:t>
      </w:r>
    </w:p>
    <w:p w14:paraId="221B138A" w14:textId="77777777" w:rsidR="009A4F87" w:rsidRDefault="009A4F87" w:rsidP="009A4F87">
      <w:pPr>
        <w:spacing w:after="120"/>
        <w:ind w:firstLine="720"/>
        <w:jc w:val="both"/>
        <w:rPr>
          <w:rFonts w:ascii="Arial" w:hAnsi="Arial" w:cs="Arial"/>
          <w:sz w:val="20"/>
          <w:szCs w:val="20"/>
        </w:rPr>
      </w:pPr>
      <w:r>
        <w:rPr>
          <w:rFonts w:ascii="Arial" w:hAnsi="Arial" w:cs="Arial"/>
          <w:sz w:val="20"/>
          <w:szCs w:val="20"/>
        </w:rPr>
        <w:t>3. Tổ chức, cá nhân thuộc đối tượng điều chỉnh của Thông tư này thực hiện theo hướng dẫn tại Thông tư này.</w:t>
      </w:r>
    </w:p>
    <w:p w14:paraId="03C96649" w14:textId="77777777" w:rsidR="009A4F87" w:rsidRDefault="009A4F87" w:rsidP="009A4F87">
      <w:pPr>
        <w:ind w:firstLine="720"/>
        <w:jc w:val="both"/>
        <w:rPr>
          <w:rFonts w:ascii="Arial" w:hAnsi="Arial" w:cs="Arial"/>
          <w:sz w:val="20"/>
          <w:szCs w:val="20"/>
        </w:rPr>
      </w:pPr>
      <w:r>
        <w:rPr>
          <w:rFonts w:ascii="Arial" w:hAnsi="Arial" w:cs="Arial"/>
          <w:sz w:val="20"/>
          <w:szCs w:val="20"/>
        </w:rPr>
        <w:t>Trong quá trình thực hiện nếu có vướng mắc, đề nghị các tổ chức, cá nhân phản ánh kịp thời về Bộ Tài chính để nghiên cứu giải quyết./.</w:t>
      </w:r>
    </w:p>
    <w:p w14:paraId="6065A721" w14:textId="77777777" w:rsidR="009A4F87" w:rsidRDefault="009A4F87" w:rsidP="009A4F87">
      <w:pPr>
        <w:rPr>
          <w:rFonts w:ascii="Arial" w:hAnsi="Arial" w:cs="Arial"/>
          <w:sz w:val="20"/>
          <w:szCs w:val="20"/>
        </w:rPr>
      </w:pP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3"/>
        <w:gridCol w:w="3675"/>
      </w:tblGrid>
      <w:tr w:rsidR="009A4F87" w14:paraId="1B640D84" w14:textId="77777777" w:rsidTr="009A4F87">
        <w:tc>
          <w:tcPr>
            <w:tcW w:w="5520" w:type="dxa"/>
            <w:hideMark/>
          </w:tcPr>
          <w:p w14:paraId="36C98810" w14:textId="77777777" w:rsidR="009A4F87" w:rsidRDefault="009A4F87">
            <w:pPr>
              <w:rPr>
                <w:rFonts w:ascii="Arial" w:hAnsi="Arial" w:cs="Arial"/>
                <w:sz w:val="20"/>
                <w:szCs w:val="20"/>
              </w:rPr>
            </w:pPr>
            <w:r>
              <w:rPr>
                <w:rFonts w:ascii="Arial" w:hAnsi="Arial" w:cs="Arial"/>
                <w:b/>
                <w:i/>
                <w:sz w:val="20"/>
                <w:szCs w:val="20"/>
              </w:rPr>
              <w:t>Nơi nhận:</w:t>
            </w:r>
            <w:r>
              <w:rPr>
                <w:rFonts w:ascii="Arial" w:hAnsi="Arial" w:cs="Arial"/>
                <w:b/>
                <w:i/>
                <w:sz w:val="20"/>
                <w:szCs w:val="20"/>
              </w:rPr>
              <w:br/>
            </w:r>
            <w:r>
              <w:rPr>
                <w:rFonts w:ascii="Arial" w:hAnsi="Arial" w:cs="Arial"/>
                <w:sz w:val="20"/>
                <w:szCs w:val="20"/>
              </w:rPr>
              <w:t>- Văn phòng Trung ương và các Ban của Đảng;</w:t>
            </w:r>
            <w:r>
              <w:rPr>
                <w:rFonts w:ascii="Arial" w:hAnsi="Arial" w:cs="Arial"/>
                <w:sz w:val="20"/>
                <w:szCs w:val="20"/>
              </w:rPr>
              <w:br/>
              <w:t>- Văn phòng Quốc hội;</w:t>
            </w:r>
            <w:r>
              <w:rPr>
                <w:rFonts w:ascii="Arial" w:hAnsi="Arial" w:cs="Arial"/>
                <w:sz w:val="20"/>
                <w:szCs w:val="20"/>
              </w:rPr>
              <w:br/>
              <w:t>- Văn phòng Chủ tịch nước;</w:t>
            </w:r>
            <w:r>
              <w:rPr>
                <w:rFonts w:ascii="Arial" w:hAnsi="Arial" w:cs="Arial"/>
                <w:sz w:val="20"/>
                <w:szCs w:val="20"/>
              </w:rPr>
              <w:br/>
              <w:t>- Văn phòng Tổng Bí thư;</w:t>
            </w:r>
            <w:r>
              <w:rPr>
                <w:rFonts w:ascii="Arial" w:hAnsi="Arial" w:cs="Arial"/>
                <w:sz w:val="20"/>
                <w:szCs w:val="20"/>
              </w:rPr>
              <w:br/>
              <w:t>- Viện Kiểm sát nhân dân tối cao;</w:t>
            </w:r>
            <w:r>
              <w:rPr>
                <w:rFonts w:ascii="Arial" w:hAnsi="Arial" w:cs="Arial"/>
                <w:sz w:val="20"/>
                <w:szCs w:val="20"/>
              </w:rPr>
              <w:br/>
              <w:t>- Văn phòng BCĐ phòng chống tham nhũng Trung ương;</w:t>
            </w:r>
            <w:r>
              <w:rPr>
                <w:rFonts w:ascii="Arial" w:hAnsi="Arial" w:cs="Arial"/>
                <w:sz w:val="20"/>
                <w:szCs w:val="20"/>
              </w:rPr>
              <w:br/>
              <w:t>- Toà án nhân dân tối cao;</w:t>
            </w:r>
            <w:r>
              <w:rPr>
                <w:rFonts w:ascii="Arial" w:hAnsi="Arial" w:cs="Arial"/>
                <w:sz w:val="20"/>
                <w:szCs w:val="20"/>
              </w:rPr>
              <w:br/>
              <w:t>- Kiểm toán nhà nước;</w:t>
            </w:r>
            <w:r>
              <w:rPr>
                <w:rFonts w:ascii="Arial" w:hAnsi="Arial" w:cs="Arial"/>
                <w:sz w:val="20"/>
                <w:szCs w:val="20"/>
              </w:rPr>
              <w:br/>
              <w:t xml:space="preserve">- Các Bộ, cơ quan ngang Bộ, </w:t>
            </w:r>
            <w:r>
              <w:rPr>
                <w:rFonts w:ascii="Arial" w:hAnsi="Arial" w:cs="Arial"/>
                <w:sz w:val="20"/>
                <w:szCs w:val="20"/>
              </w:rPr>
              <w:br/>
              <w:t xml:space="preserve"> cơ quan thuộc Chính phủ,</w:t>
            </w:r>
            <w:r>
              <w:rPr>
                <w:rFonts w:ascii="Arial" w:hAnsi="Arial" w:cs="Arial"/>
                <w:sz w:val="20"/>
                <w:szCs w:val="20"/>
              </w:rPr>
              <w:br/>
              <w:t>- Cơ quan Trung ương của các đoàn thể;</w:t>
            </w:r>
            <w:r>
              <w:rPr>
                <w:rFonts w:ascii="Arial" w:hAnsi="Arial" w:cs="Arial"/>
                <w:sz w:val="20"/>
                <w:szCs w:val="20"/>
              </w:rPr>
              <w:br/>
              <w:t xml:space="preserve">- Hội đồng nhân dân, Uỷ ban nhân dân, </w:t>
            </w:r>
            <w:r>
              <w:rPr>
                <w:rFonts w:ascii="Arial" w:hAnsi="Arial" w:cs="Arial"/>
                <w:sz w:val="20"/>
                <w:szCs w:val="20"/>
              </w:rPr>
              <w:br/>
              <w:t xml:space="preserve"> Sở Tài chính, Cục Thuế, Kho bạc nhà nước </w:t>
            </w:r>
            <w:r>
              <w:rPr>
                <w:rFonts w:ascii="Arial" w:hAnsi="Arial" w:cs="Arial"/>
                <w:sz w:val="20"/>
                <w:szCs w:val="20"/>
              </w:rPr>
              <w:br/>
              <w:t xml:space="preserve"> các tỉnh, thành phố trực thuộc Trung ương;</w:t>
            </w:r>
            <w:r>
              <w:rPr>
                <w:rFonts w:ascii="Arial" w:hAnsi="Arial" w:cs="Arial"/>
                <w:sz w:val="20"/>
                <w:szCs w:val="20"/>
              </w:rPr>
              <w:br/>
              <w:t>- Công báo;</w:t>
            </w:r>
            <w:r>
              <w:rPr>
                <w:rFonts w:ascii="Arial" w:hAnsi="Arial" w:cs="Arial"/>
                <w:sz w:val="20"/>
                <w:szCs w:val="20"/>
              </w:rPr>
              <w:br/>
              <w:t>- Cục Kiểm tra văn bản (Bộ Tư pháp);</w:t>
            </w:r>
            <w:r>
              <w:rPr>
                <w:rFonts w:ascii="Arial" w:hAnsi="Arial" w:cs="Arial"/>
                <w:sz w:val="20"/>
                <w:szCs w:val="20"/>
              </w:rPr>
              <w:br/>
              <w:t>- Website Chính phủ;</w:t>
            </w:r>
            <w:r>
              <w:rPr>
                <w:rFonts w:ascii="Arial" w:hAnsi="Arial" w:cs="Arial"/>
                <w:sz w:val="20"/>
                <w:szCs w:val="20"/>
              </w:rPr>
              <w:br/>
              <w:t>- Website Bộ Tài chính; Website Tổng cục Thuế;</w:t>
            </w:r>
            <w:r>
              <w:rPr>
                <w:rFonts w:ascii="Arial" w:hAnsi="Arial" w:cs="Arial"/>
                <w:sz w:val="20"/>
                <w:szCs w:val="20"/>
              </w:rPr>
              <w:br/>
              <w:t>- Các đơn vị thuộc Bộ Tài chính;</w:t>
            </w:r>
            <w:r>
              <w:rPr>
                <w:rFonts w:ascii="Arial" w:hAnsi="Arial" w:cs="Arial"/>
                <w:sz w:val="20"/>
                <w:szCs w:val="20"/>
              </w:rPr>
              <w:br/>
              <w:t>- Lưu: VT, TCT (VT, CS).</w:t>
            </w:r>
          </w:p>
        </w:tc>
        <w:tc>
          <w:tcPr>
            <w:tcW w:w="3840" w:type="dxa"/>
          </w:tcPr>
          <w:p w14:paraId="6C7596F1" w14:textId="77777777" w:rsidR="009A4F87" w:rsidRDefault="009A4F87">
            <w:pPr>
              <w:jc w:val="center"/>
              <w:rPr>
                <w:rFonts w:ascii="Arial" w:hAnsi="Arial" w:cs="Arial"/>
                <w:b/>
                <w:sz w:val="20"/>
                <w:szCs w:val="20"/>
              </w:rPr>
            </w:pPr>
            <w:r>
              <w:rPr>
                <w:rFonts w:ascii="Arial" w:hAnsi="Arial" w:cs="Arial"/>
                <w:b/>
                <w:sz w:val="20"/>
                <w:szCs w:val="20"/>
              </w:rPr>
              <w:t>KT. BỘ TRƯỞNG</w:t>
            </w:r>
            <w:r>
              <w:rPr>
                <w:rFonts w:ascii="Arial" w:hAnsi="Arial" w:cs="Arial"/>
                <w:b/>
                <w:sz w:val="20"/>
                <w:szCs w:val="20"/>
              </w:rPr>
              <w:br/>
              <w:t>THỨ TRƯỞNG</w:t>
            </w: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762C802D" w14:textId="77777777" w:rsidR="009A4F87" w:rsidRDefault="009A4F87">
            <w:pPr>
              <w:jc w:val="center"/>
              <w:rPr>
                <w:rFonts w:ascii="Arial" w:hAnsi="Arial" w:cs="Arial"/>
                <w:b/>
                <w:sz w:val="20"/>
                <w:szCs w:val="20"/>
              </w:rPr>
            </w:pPr>
          </w:p>
          <w:p w14:paraId="243E3C74" w14:textId="77777777" w:rsidR="009A4F87" w:rsidRDefault="009A4F87">
            <w:pPr>
              <w:jc w:val="center"/>
              <w:rPr>
                <w:rFonts w:ascii="Arial" w:hAnsi="Arial" w:cs="Arial"/>
                <w:b/>
                <w:sz w:val="20"/>
                <w:szCs w:val="20"/>
              </w:rPr>
            </w:pPr>
          </w:p>
          <w:p w14:paraId="02A1FC98" w14:textId="77777777" w:rsidR="009A4F87" w:rsidRDefault="009A4F87">
            <w:pPr>
              <w:jc w:val="center"/>
              <w:rPr>
                <w:rFonts w:ascii="Arial" w:hAnsi="Arial" w:cs="Arial"/>
                <w:sz w:val="20"/>
                <w:szCs w:val="20"/>
              </w:rPr>
            </w:pPr>
            <w:r>
              <w:rPr>
                <w:rFonts w:ascii="Arial" w:hAnsi="Arial" w:cs="Arial"/>
                <w:b/>
                <w:sz w:val="20"/>
                <w:szCs w:val="20"/>
              </w:rPr>
              <w:br/>
            </w:r>
            <w:r>
              <w:rPr>
                <w:rFonts w:ascii="Arial" w:hAnsi="Arial" w:cs="Arial"/>
                <w:b/>
                <w:sz w:val="20"/>
                <w:szCs w:val="20"/>
              </w:rPr>
              <w:br/>
              <w:t>Đỗ Hoàng Anh Tuấn</w:t>
            </w:r>
          </w:p>
        </w:tc>
      </w:tr>
    </w:tbl>
    <w:p w14:paraId="68674091" w14:textId="77777777" w:rsidR="009A4F87" w:rsidRDefault="009A4F87" w:rsidP="009A4F87">
      <w:pPr>
        <w:rPr>
          <w:rFonts w:ascii="Arial" w:hAnsi="Arial" w:cs="Arial"/>
          <w:sz w:val="20"/>
          <w:szCs w:val="20"/>
        </w:rPr>
      </w:pPr>
    </w:p>
    <w:tbl>
      <w:tblPr>
        <w:tblStyle w:val="LiBang"/>
        <w:tblW w:w="0" w:type="auto"/>
        <w:jc w:val="center"/>
        <w:tblInd w:w="0" w:type="dxa"/>
        <w:tblLook w:val="01E0" w:firstRow="1" w:lastRow="1" w:firstColumn="1" w:lastColumn="1" w:noHBand="0" w:noVBand="0"/>
      </w:tblPr>
      <w:tblGrid>
        <w:gridCol w:w="5988"/>
      </w:tblGrid>
      <w:tr w:rsidR="009A4F87" w14:paraId="1DBAD688" w14:textId="77777777" w:rsidTr="009A4F87">
        <w:trPr>
          <w:jc w:val="center"/>
        </w:trPr>
        <w:tc>
          <w:tcPr>
            <w:tcW w:w="5988" w:type="dxa"/>
            <w:tcBorders>
              <w:top w:val="single" w:sz="4" w:space="0" w:color="auto"/>
              <w:left w:val="single" w:sz="4" w:space="0" w:color="auto"/>
              <w:bottom w:val="single" w:sz="4" w:space="0" w:color="auto"/>
              <w:right w:val="single" w:sz="4" w:space="0" w:color="auto"/>
            </w:tcBorders>
          </w:tcPr>
          <w:p w14:paraId="5C24F3AF" w14:textId="77777777" w:rsidR="009A4F87" w:rsidRDefault="009A4F87">
            <w:pPr>
              <w:jc w:val="center"/>
              <w:rPr>
                <w:rFonts w:ascii="Arial" w:hAnsi="Arial" w:cs="Arial"/>
                <w:b/>
                <w:color w:val="FF0000"/>
                <w:sz w:val="20"/>
                <w:szCs w:val="20"/>
                <w:lang w:val="pt-BR"/>
              </w:rPr>
            </w:pPr>
          </w:p>
          <w:p w14:paraId="10A567D4" w14:textId="77777777" w:rsidR="009A4F87" w:rsidRDefault="009A4F87">
            <w:pPr>
              <w:jc w:val="center"/>
              <w:rPr>
                <w:rFonts w:ascii="Arial" w:hAnsi="Arial" w:cs="Arial"/>
                <w:b/>
                <w:color w:val="FF0000"/>
                <w:sz w:val="20"/>
                <w:szCs w:val="20"/>
                <w:lang w:val="pt-BR"/>
              </w:rPr>
            </w:pPr>
            <w:r>
              <w:rPr>
                <w:rFonts w:ascii="Arial" w:hAnsi="Arial" w:cs="Arial"/>
                <w:b/>
                <w:color w:val="FF0000"/>
                <w:sz w:val="20"/>
                <w:szCs w:val="20"/>
                <w:lang w:val="pt-BR"/>
              </w:rPr>
              <w:t>FILE ĐƯỢC ĐÍNH KÈM THEO VĂN BẢN</w:t>
            </w:r>
          </w:p>
          <w:p w14:paraId="348CEF08" w14:textId="77777777" w:rsidR="009A4F87" w:rsidRDefault="009A4F87">
            <w:pPr>
              <w:jc w:val="center"/>
              <w:rPr>
                <w:rFonts w:ascii="Arial" w:hAnsi="Arial" w:cs="Arial"/>
                <w:sz w:val="20"/>
                <w:szCs w:val="20"/>
                <w:lang w:val="pt-BR"/>
              </w:rPr>
            </w:pPr>
            <w:r>
              <w:rPr>
                <w:rFonts w:ascii="Arial" w:hAnsi="Arial" w:cs="Arial"/>
                <w:sz w:val="20"/>
                <w:szCs w:val="20"/>
                <w:lang w:val="pt-BR"/>
              </w:rPr>
              <w:object w:dxaOrig="1540" w:dyaOrig="990" w14:anchorId="32C9D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4" o:title=""/>
                </v:shape>
                <o:OLEObject Type="Embed" ProgID="Package" ShapeID="_x0000_i1025" DrawAspect="Icon" ObjectID="_1685306309" r:id="rId5"/>
              </w:object>
            </w:r>
          </w:p>
        </w:tc>
      </w:tr>
    </w:tbl>
    <w:p w14:paraId="23C4E3F8" w14:textId="77777777" w:rsidR="009A4F87" w:rsidRDefault="009A4F87" w:rsidP="009A4F87">
      <w:pPr>
        <w:rPr>
          <w:rFonts w:ascii="Arial" w:hAnsi="Arial" w:cs="Arial"/>
          <w:sz w:val="20"/>
          <w:szCs w:val="20"/>
        </w:rPr>
      </w:pPr>
    </w:p>
    <w:p w14:paraId="536A5C49" w14:textId="77777777" w:rsidR="009A4F87" w:rsidRDefault="009A4F87" w:rsidP="009A4F87">
      <w:pPr>
        <w:rPr>
          <w:rFonts w:ascii="Arial" w:hAnsi="Arial" w:cs="Arial"/>
          <w:b/>
          <w:sz w:val="20"/>
          <w:szCs w:val="20"/>
        </w:rPr>
      </w:pPr>
    </w:p>
    <w:p w14:paraId="32634964" w14:textId="77777777" w:rsidR="009A4F87" w:rsidRDefault="009A4F87" w:rsidP="009A4F87">
      <w:pPr>
        <w:rPr>
          <w:rFonts w:ascii="Arial" w:hAnsi="Arial" w:cs="Arial"/>
          <w:sz w:val="20"/>
          <w:szCs w:val="20"/>
        </w:rPr>
      </w:pPr>
    </w:p>
    <w:p w14:paraId="526BC36E" w14:textId="77777777" w:rsidR="00165D37" w:rsidRDefault="00165D37"/>
    <w:sectPr w:rsidR="00165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87"/>
    <w:rsid w:val="00165D37"/>
    <w:rsid w:val="009A4F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7FFF"/>
  <w15:chartTrackingRefBased/>
  <w15:docId w15:val="{74C08F8E-D4ED-438D-B078-25C45231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A4F87"/>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9A4F87"/>
    <w:pPr>
      <w:spacing w:before="100" w:beforeAutospacing="1" w:after="100" w:afterAutospacing="1"/>
    </w:pPr>
    <w:rPr>
      <w:lang w:val="vi-VN" w:eastAsia="vi-VN"/>
    </w:rPr>
  </w:style>
  <w:style w:type="paragraph" w:styleId="Chntrang">
    <w:name w:val="footer"/>
    <w:basedOn w:val="Binhthng"/>
    <w:link w:val="ChntrangChar"/>
    <w:semiHidden/>
    <w:unhideWhenUsed/>
    <w:rsid w:val="009A4F87"/>
    <w:pPr>
      <w:tabs>
        <w:tab w:val="center" w:pos="4320"/>
        <w:tab w:val="right" w:pos="8640"/>
      </w:tabs>
    </w:pPr>
  </w:style>
  <w:style w:type="character" w:customStyle="1" w:styleId="ChntrangChar">
    <w:name w:val="Chân trang Char"/>
    <w:basedOn w:val="Phngmcinhcuaoanvn"/>
    <w:link w:val="Chntrang"/>
    <w:semiHidden/>
    <w:rsid w:val="009A4F87"/>
    <w:rPr>
      <w:rFonts w:ascii="Times New Roman" w:eastAsia="Times New Roman" w:hAnsi="Times New Roman" w:cs="Times New Roman"/>
      <w:sz w:val="24"/>
      <w:szCs w:val="24"/>
      <w:lang w:val="en-US"/>
    </w:rPr>
  </w:style>
  <w:style w:type="table" w:styleId="LiBang">
    <w:name w:val="Table Grid"/>
    <w:basedOn w:val="BangThngthng"/>
    <w:rsid w:val="009A4F87"/>
    <w:pPr>
      <w:spacing w:after="200" w:line="276"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13640</Words>
  <Characters>77751</Characters>
  <Application>Microsoft Office Word</Application>
  <DocSecurity>0</DocSecurity>
  <Lines>647</Lines>
  <Paragraphs>182</Paragraphs>
  <ScaleCrop>false</ScaleCrop>
  <Company/>
  <LinksUpToDate>false</LinksUpToDate>
  <CharactersWithSpaces>91209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2021-06-15T16:51:00Z</dcterms:created>
  <dcterms:modified xsi:type="dcterms:W3CDTF">2021-06-15T16:52:00Z</dcterms:modified>
</cp:coreProperties>
</file>